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5" w:type="dxa"/>
        <w:tblInd w:w="6" w:type="dxa"/>
        <w:tblLayout w:type="fixed"/>
        <w:tblLook w:val="0000"/>
      </w:tblPr>
      <w:tblGrid>
        <w:gridCol w:w="3113"/>
        <w:gridCol w:w="5952"/>
      </w:tblGrid>
      <w:tr w:rsidR="00202D1A" w:rsidRPr="00AF5BD9" w:rsidTr="00202D1A">
        <w:trPr>
          <w:trHeight w:val="770"/>
        </w:trPr>
        <w:tc>
          <w:tcPr>
            <w:tcW w:w="3113" w:type="dxa"/>
          </w:tcPr>
          <w:p w:rsidR="00202D1A" w:rsidRDefault="00202D1A" w:rsidP="00202D1A">
            <w:pPr>
              <w:pBdr>
                <w:top w:val="nil"/>
                <w:left w:val="nil"/>
                <w:bottom w:val="nil"/>
                <w:right w:val="nil"/>
                <w:between w:val="nil"/>
              </w:pBdr>
              <w:shd w:val="clear" w:color="auto" w:fill="FFFFFF"/>
              <w:jc w:val="center"/>
              <w:rPr>
                <w:sz w:val="26"/>
                <w:szCs w:val="26"/>
              </w:rPr>
            </w:pPr>
            <w:r w:rsidRPr="00202D1A">
              <w:rPr>
                <w:sz w:val="26"/>
                <w:szCs w:val="26"/>
              </w:rPr>
              <w:t>UBND TỈNH NAM ĐỊNH</w:t>
            </w:r>
          </w:p>
          <w:p w:rsidR="00202D1A" w:rsidRPr="00202D1A" w:rsidRDefault="00202D1A" w:rsidP="00202D1A">
            <w:pPr>
              <w:pBdr>
                <w:top w:val="nil"/>
                <w:left w:val="nil"/>
                <w:bottom w:val="nil"/>
                <w:right w:val="nil"/>
                <w:between w:val="nil"/>
              </w:pBdr>
              <w:shd w:val="clear" w:color="auto" w:fill="FFFFFF"/>
              <w:jc w:val="center"/>
              <w:rPr>
                <w:b/>
                <w:sz w:val="28"/>
                <w:szCs w:val="26"/>
              </w:rPr>
            </w:pPr>
            <w:r w:rsidRPr="00202D1A">
              <w:rPr>
                <w:b/>
                <w:sz w:val="28"/>
                <w:szCs w:val="26"/>
              </w:rPr>
              <w:t>SỞ XÂY DỰNG</w:t>
            </w:r>
          </w:p>
          <w:p w:rsidR="00202D1A" w:rsidRPr="00AF5BD9" w:rsidRDefault="00040418" w:rsidP="00202D1A">
            <w:pPr>
              <w:pBdr>
                <w:top w:val="nil"/>
                <w:left w:val="nil"/>
                <w:bottom w:val="nil"/>
                <w:right w:val="nil"/>
                <w:between w:val="nil"/>
              </w:pBdr>
              <w:shd w:val="clear" w:color="auto" w:fill="FFFFFF"/>
              <w:jc w:val="center"/>
              <w:rPr>
                <w:b/>
                <w:sz w:val="26"/>
                <w:szCs w:val="26"/>
              </w:rPr>
            </w:pPr>
            <w:r w:rsidRPr="00040418">
              <w:rPr>
                <w:rFonts w:ascii="Helvetica Neue" w:eastAsia="Helvetica Neue" w:hAnsi="Helvetica Neue" w:cs="Helvetica Neue"/>
                <w:noProof/>
              </w:rPr>
              <w:pict>
                <v:line id="Straight Connector 1" o:spid="_x0000_s1026" style="position:absolute;left:0;text-align:left;z-index:251657216;visibility:visible;mso-wrap-distance-top:-3e-5mm;mso-wrap-distance-bottom:-3e-5mm" from="48.1pt,3.95pt" to="9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" strokecolor="black [3040]">
                  <o:lock v:ext="edit" shapetype="f"/>
                </v:line>
              </w:pict>
            </w:r>
          </w:p>
        </w:tc>
        <w:tc>
          <w:tcPr>
            <w:tcW w:w="5952" w:type="dxa"/>
          </w:tcPr>
          <w:p w:rsidR="00202D1A" w:rsidRDefault="00202D1A" w:rsidP="00202D1A">
            <w:pPr>
              <w:pBdr>
                <w:top w:val="nil"/>
                <w:left w:val="nil"/>
                <w:bottom w:val="nil"/>
                <w:right w:val="nil"/>
                <w:between w:val="nil"/>
              </w:pBdr>
              <w:shd w:val="clear" w:color="auto" w:fill="FFFFFF"/>
              <w:jc w:val="center"/>
              <w:rPr>
                <w:b/>
                <w:sz w:val="26"/>
                <w:szCs w:val="26"/>
              </w:rPr>
            </w:pPr>
            <w:r>
              <w:rPr>
                <w:b/>
                <w:sz w:val="26"/>
                <w:szCs w:val="26"/>
              </w:rPr>
              <w:t>CỘNG HOÀ XÃ HỘI CHỦ NGHĨA VIỆT NAM</w:t>
            </w:r>
          </w:p>
          <w:p w:rsidR="00202D1A" w:rsidRDefault="00202D1A" w:rsidP="00202D1A">
            <w:pPr>
              <w:pBdr>
                <w:top w:val="nil"/>
                <w:left w:val="nil"/>
                <w:bottom w:val="nil"/>
                <w:right w:val="nil"/>
                <w:between w:val="nil"/>
              </w:pBdr>
              <w:shd w:val="clear" w:color="auto" w:fill="FFFFFF"/>
              <w:jc w:val="center"/>
              <w:rPr>
                <w:b/>
                <w:sz w:val="28"/>
                <w:szCs w:val="28"/>
              </w:rPr>
            </w:pPr>
            <w:r>
              <w:rPr>
                <w:b/>
                <w:sz w:val="28"/>
                <w:szCs w:val="28"/>
              </w:rPr>
              <w:t>Độc lập - Tự do - Hạnh phúc</w:t>
            </w:r>
          </w:p>
          <w:p w:rsidR="00202D1A" w:rsidRPr="00AF5BD9" w:rsidRDefault="00040418" w:rsidP="00202D1A">
            <w:pPr>
              <w:pBdr>
                <w:top w:val="nil"/>
                <w:left w:val="nil"/>
                <w:bottom w:val="nil"/>
                <w:right w:val="nil"/>
                <w:between w:val="nil"/>
              </w:pBdr>
              <w:shd w:val="clear" w:color="auto" w:fill="FFFFFF"/>
              <w:jc w:val="center"/>
              <w:rPr>
                <w:i/>
                <w:sz w:val="26"/>
                <w:szCs w:val="26"/>
              </w:rPr>
            </w:pPr>
            <w:r>
              <w:rPr>
                <w:i/>
                <w:noProof/>
                <w:sz w:val="26"/>
                <w:szCs w:val="26"/>
              </w:rPr>
              <w:pict>
                <v:line id="Straight Connector 3" o:spid="_x0000_s1027" style="position:absolute;left:0;text-align:left;z-index:251658240;visibility:visible;mso-wrap-distance-top:-3e-5mm;mso-wrap-distance-bottom:-3e-5mm;mso-width-relative:margin;mso-height-relative:margin" from="58.65pt,4.25pt" to="225.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" strokecolor="black [3040]">
                  <o:lock v:ext="edit" shapetype="f"/>
                </v:line>
              </w:pict>
            </w:r>
          </w:p>
        </w:tc>
      </w:tr>
    </w:tbl>
    <w:p w:rsidR="00202D1A" w:rsidRDefault="00202D1A" w:rsidP="00202D1A">
      <w:pPr>
        <w:spacing w:line="264" w:lineRule="auto"/>
        <w:jc w:val="center"/>
        <w:rPr>
          <w:b/>
          <w:color w:val="000000"/>
          <w:sz w:val="28"/>
          <w:szCs w:val="28"/>
        </w:rPr>
      </w:pPr>
      <w:r>
        <w:rPr>
          <w:b/>
          <w:color w:val="000000"/>
          <w:sz w:val="28"/>
          <w:szCs w:val="28"/>
        </w:rPr>
        <w:t>THUYẾT MINH PHƯƠNG ÁN</w:t>
      </w:r>
    </w:p>
    <w:p w:rsidR="00202D1A" w:rsidRDefault="00202D1A" w:rsidP="00C14460">
      <w:pPr>
        <w:spacing w:line="264" w:lineRule="auto"/>
        <w:jc w:val="center"/>
        <w:rPr>
          <w:b/>
          <w:color w:val="000000"/>
          <w:sz w:val="28"/>
          <w:szCs w:val="28"/>
        </w:rPr>
      </w:pPr>
      <w:r w:rsidRPr="00F96FD7">
        <w:rPr>
          <w:b/>
          <w:spacing w:val="-2"/>
          <w:sz w:val="28"/>
          <w:szCs w:val="28"/>
          <w:highlight w:val="white"/>
        </w:rPr>
        <w:t>Khung giá thuê nhà ở xã hội được đầu tư xây dựng không bằng nguồn vốn đầu tư công, nguồn tài chính công đoàn, khung giá cho thuê nhà lưu trú công nhân trong khu công nghiệp trên địa bàn tỉnh Nam Định</w:t>
      </w:r>
    </w:p>
    <w:p w:rsidR="00C14460" w:rsidRPr="00C14460" w:rsidRDefault="00C14460" w:rsidP="00C14460">
      <w:pPr>
        <w:spacing w:line="264" w:lineRule="auto"/>
        <w:jc w:val="center"/>
        <w:rPr>
          <w:b/>
          <w:color w:val="000000"/>
          <w:sz w:val="28"/>
          <w:szCs w:val="28"/>
        </w:rPr>
      </w:pPr>
    </w:p>
    <w:p w:rsidR="00202D1A" w:rsidRDefault="00202D1A" w:rsidP="00C14460">
      <w:pPr>
        <w:spacing w:before="120" w:after="120" w:line="288" w:lineRule="auto"/>
        <w:ind w:firstLine="851"/>
        <w:rPr>
          <w:b/>
          <w:color w:val="000000"/>
          <w:sz w:val="28"/>
          <w:szCs w:val="28"/>
        </w:rPr>
      </w:pPr>
      <w:r>
        <w:rPr>
          <w:b/>
          <w:color w:val="000000"/>
          <w:sz w:val="28"/>
          <w:szCs w:val="28"/>
        </w:rPr>
        <w:t>I. Căn cứ pháp lý</w:t>
      </w:r>
    </w:p>
    <w:p w:rsidR="00202D1A" w:rsidRDefault="00202D1A" w:rsidP="00C14460">
      <w:pPr>
        <w:spacing w:before="120" w:after="120" w:line="288" w:lineRule="auto"/>
        <w:ind w:firstLine="851"/>
        <w:jc w:val="both"/>
        <w:rPr>
          <w:color w:val="000000"/>
          <w:sz w:val="28"/>
          <w:szCs w:val="28"/>
        </w:rPr>
      </w:pPr>
      <w:r w:rsidRPr="00202D1A">
        <w:rPr>
          <w:color w:val="000000"/>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p>
    <w:p w:rsidR="00202D1A" w:rsidRPr="00202D1A" w:rsidRDefault="00202D1A" w:rsidP="00C14460">
      <w:pPr>
        <w:spacing w:before="120" w:after="120" w:line="288" w:lineRule="auto"/>
        <w:ind w:firstLine="851"/>
        <w:jc w:val="both"/>
        <w:rPr>
          <w:color w:val="000000"/>
          <w:sz w:val="28"/>
          <w:szCs w:val="28"/>
        </w:rPr>
      </w:pPr>
      <w:r w:rsidRPr="00202D1A">
        <w:rPr>
          <w:color w:val="000000"/>
          <w:sz w:val="28"/>
          <w:szCs w:val="28"/>
        </w:rPr>
        <w:t>Luật Ban hành văn bản quy phạm pháp luật ngày 22 tháng 6 năm 2015; Luật sửa đổi, bổ sung một số điều của Luật Ban hành văn bản quy phạm pháp luật ngày 18 tháng 6 năm 2020;</w:t>
      </w:r>
    </w:p>
    <w:p w:rsidR="00202D1A" w:rsidRPr="00202D1A" w:rsidRDefault="00202D1A" w:rsidP="00C14460">
      <w:pPr>
        <w:spacing w:before="120" w:after="120" w:line="288" w:lineRule="auto"/>
        <w:ind w:firstLine="851"/>
        <w:jc w:val="both"/>
        <w:rPr>
          <w:color w:val="000000"/>
          <w:sz w:val="28"/>
          <w:szCs w:val="28"/>
        </w:rPr>
      </w:pPr>
      <w:r w:rsidRPr="00202D1A">
        <w:rPr>
          <w:color w:val="000000"/>
          <w:sz w:val="28"/>
          <w:szCs w:val="28"/>
        </w:rPr>
        <w:t>Luật Nhà ở ngày 2</w:t>
      </w:r>
      <w:r w:rsidR="00D542FB">
        <w:rPr>
          <w:color w:val="000000"/>
          <w:sz w:val="28"/>
          <w:szCs w:val="28"/>
        </w:rPr>
        <w:t>7</w:t>
      </w:r>
      <w:r w:rsidRPr="00202D1A">
        <w:rPr>
          <w:color w:val="000000"/>
          <w:sz w:val="28"/>
          <w:szCs w:val="28"/>
        </w:rPr>
        <w:t xml:space="preserve"> tháng 11 năm 2023;</w:t>
      </w:r>
    </w:p>
    <w:p w:rsidR="00202D1A" w:rsidRPr="00202D1A" w:rsidRDefault="00202D1A" w:rsidP="00C14460">
      <w:pPr>
        <w:spacing w:before="120" w:after="120" w:line="288" w:lineRule="auto"/>
        <w:ind w:firstLine="851"/>
        <w:jc w:val="both"/>
        <w:rPr>
          <w:color w:val="000000"/>
          <w:sz w:val="28"/>
          <w:szCs w:val="28"/>
        </w:rPr>
      </w:pPr>
      <w:r>
        <w:rPr>
          <w:color w:val="000000"/>
          <w:sz w:val="28"/>
          <w:szCs w:val="28"/>
        </w:rPr>
        <w:t>Nghị định số    /2024/NĐ-CP ngày….tháng…..năm 2024 của Chính phủ Quy định chi tiết một số điều của Luật Nhà ở về phát triển và quản lý nhà ở xã hội (Dự thảo)</w:t>
      </w:r>
    </w:p>
    <w:p w:rsidR="00202D1A" w:rsidRDefault="00202D1A" w:rsidP="00C14460">
      <w:pPr>
        <w:spacing w:before="120" w:after="120" w:line="288" w:lineRule="auto"/>
        <w:ind w:firstLine="851"/>
        <w:jc w:val="both"/>
        <w:rPr>
          <w:color w:val="000000"/>
          <w:sz w:val="28"/>
          <w:szCs w:val="28"/>
        </w:rPr>
      </w:pPr>
      <w:r w:rsidRPr="00202D1A">
        <w:rPr>
          <w:color w:val="000000"/>
          <w:sz w:val="28"/>
          <w:szCs w:val="28"/>
        </w:rPr>
        <w:t>Thông tư số 14/2021/TTBXD ngày 08 tháng 9 năm 2021 của Bộ Xây dựng Hướng dẫn xác định chi phí bảo trì công trình xây dựng</w:t>
      </w:r>
      <w:r>
        <w:rPr>
          <w:color w:val="000000"/>
          <w:sz w:val="28"/>
          <w:szCs w:val="28"/>
        </w:rPr>
        <w:t>;</w:t>
      </w:r>
    </w:p>
    <w:p w:rsidR="00202D1A" w:rsidRDefault="00202D1A" w:rsidP="00C14460">
      <w:pPr>
        <w:spacing w:before="120" w:after="120" w:line="288" w:lineRule="auto"/>
        <w:ind w:firstLine="851"/>
        <w:jc w:val="both"/>
        <w:rPr>
          <w:color w:val="000000"/>
          <w:sz w:val="28"/>
          <w:szCs w:val="28"/>
        </w:rPr>
      </w:pPr>
      <w:r>
        <w:rPr>
          <w:color w:val="000000"/>
          <w:sz w:val="28"/>
          <w:szCs w:val="28"/>
        </w:rPr>
        <w:t xml:space="preserve">Quyết định số 510/QĐ-BXD ngày 19 tháng 5 năm 2023 của </w:t>
      </w:r>
      <w:r w:rsidR="00A014DF">
        <w:rPr>
          <w:color w:val="000000"/>
          <w:sz w:val="28"/>
          <w:szCs w:val="28"/>
        </w:rPr>
        <w:t>Bộ trưởng Bộ Xây dựng ban hành s</w:t>
      </w:r>
      <w:r>
        <w:rPr>
          <w:color w:val="000000"/>
          <w:sz w:val="28"/>
          <w:szCs w:val="28"/>
        </w:rPr>
        <w:t>uất vốn đầu tư xây dựng công trình và giá xây dựng tổng hợp bộ phận kết cấu công trình năm 2022.</w:t>
      </w:r>
    </w:p>
    <w:p w:rsidR="00202D1A" w:rsidRPr="005377F6" w:rsidRDefault="005377F6" w:rsidP="00C14460">
      <w:pPr>
        <w:spacing w:before="120" w:after="120" w:line="288" w:lineRule="auto"/>
        <w:ind w:firstLine="851"/>
        <w:jc w:val="both"/>
        <w:rPr>
          <w:b/>
          <w:spacing w:val="-2"/>
          <w:sz w:val="28"/>
          <w:szCs w:val="28"/>
          <w:highlight w:val="white"/>
        </w:rPr>
      </w:pPr>
      <w:r w:rsidRPr="005377F6">
        <w:rPr>
          <w:b/>
          <w:spacing w:val="-2"/>
          <w:sz w:val="28"/>
          <w:szCs w:val="28"/>
          <w:highlight w:val="white"/>
        </w:rPr>
        <w:t xml:space="preserve">II. Sự cần thiết xây dựng </w:t>
      </w:r>
      <w:r w:rsidRPr="00F96FD7">
        <w:rPr>
          <w:b/>
          <w:spacing w:val="-2"/>
          <w:sz w:val="28"/>
          <w:szCs w:val="28"/>
          <w:highlight w:val="white"/>
        </w:rPr>
        <w:t>Khung giá thuê nhà ở xã hội được đầu tư xây dựng không bằng nguồn vốn đầu tư công, nguồn tài chính công đoàn, khung giá cho thuê nhà lưu trú công nhân trong khu công nghiệp trên địa bàn tỉnh Nam Định</w:t>
      </w:r>
    </w:p>
    <w:p w:rsidR="00202D1A" w:rsidRPr="00C14460" w:rsidRDefault="005377F6" w:rsidP="00C14460">
      <w:pPr>
        <w:spacing w:before="120" w:after="120" w:line="288" w:lineRule="auto"/>
        <w:ind w:firstLine="851"/>
        <w:jc w:val="both"/>
        <w:rPr>
          <w:b/>
          <w:color w:val="000000"/>
          <w:sz w:val="28"/>
          <w:szCs w:val="28"/>
        </w:rPr>
      </w:pPr>
      <w:r w:rsidRPr="00C14460">
        <w:rPr>
          <w:b/>
          <w:color w:val="000000"/>
          <w:sz w:val="28"/>
          <w:szCs w:val="28"/>
        </w:rPr>
        <w:t>1. Căn cứ khoản 3, khoản 5 Điều 87 Luật Nhà ở năm 2023</w:t>
      </w:r>
      <w:r w:rsidR="00C14460" w:rsidRPr="00C14460">
        <w:rPr>
          <w:b/>
          <w:color w:val="000000"/>
          <w:sz w:val="28"/>
          <w:szCs w:val="28"/>
        </w:rPr>
        <w:t xml:space="preserve"> quy định:</w:t>
      </w:r>
    </w:p>
    <w:p w:rsidR="00C14460" w:rsidRPr="00C14460" w:rsidRDefault="00C14460" w:rsidP="00C14460">
      <w:pPr>
        <w:spacing w:before="120" w:after="120" w:line="288" w:lineRule="auto"/>
        <w:ind w:firstLine="851"/>
        <w:jc w:val="both"/>
        <w:rPr>
          <w:b/>
          <w:spacing w:val="-2"/>
          <w:sz w:val="28"/>
          <w:szCs w:val="28"/>
          <w:highlight w:val="white"/>
        </w:rPr>
      </w:pPr>
      <w:bookmarkStart w:id="0" w:name="dieu_87"/>
      <w:r w:rsidRPr="00C14460">
        <w:rPr>
          <w:b/>
          <w:spacing w:val="-2"/>
          <w:sz w:val="28"/>
          <w:szCs w:val="28"/>
          <w:highlight w:val="white"/>
        </w:rPr>
        <w:t>“Điều 87. Xác định giá bán, giá thuê mua, giá thuê nhà ở xã hội được đầu tư xây dựng không bằng vốn đầu tư công, nguồn tài chính công đoàn</w:t>
      </w:r>
      <w:bookmarkEnd w:id="0"/>
      <w:r w:rsidRPr="00C14460">
        <w:rPr>
          <w:b/>
          <w:spacing w:val="-2"/>
          <w:sz w:val="28"/>
          <w:szCs w:val="28"/>
          <w:highlight w:val="white"/>
        </w:rPr>
        <w:t>”</w:t>
      </w:r>
    </w:p>
    <w:p w:rsidR="00C14460" w:rsidRPr="00C14460" w:rsidRDefault="00C14460" w:rsidP="00C14460">
      <w:pPr>
        <w:spacing w:before="120" w:after="120" w:line="288" w:lineRule="auto"/>
        <w:ind w:firstLine="851"/>
        <w:jc w:val="both"/>
        <w:rPr>
          <w:i/>
          <w:color w:val="000000"/>
          <w:sz w:val="28"/>
          <w:szCs w:val="28"/>
        </w:rPr>
      </w:pPr>
      <w:r w:rsidRPr="00C14460">
        <w:rPr>
          <w:i/>
          <w:color w:val="000000"/>
          <w:sz w:val="28"/>
          <w:szCs w:val="28"/>
        </w:rPr>
        <w:t xml:space="preserve">3. Giá thuê nhà ở xã hội, bao gồm cả kinh phí bảo trì nhà ở, do chủ đầu tư dự án đầu tư xây dựng nhà ở xã hội thỏa thuận với bên thuê theo khung giá do </w:t>
      </w:r>
      <w:r w:rsidRPr="00C14460">
        <w:rPr>
          <w:b/>
          <w:i/>
          <w:color w:val="000000"/>
          <w:sz w:val="28"/>
          <w:szCs w:val="28"/>
        </w:rPr>
        <w:t>Ủy ban nhân dân cấp tỉnh quy định</w:t>
      </w:r>
      <w:r w:rsidRPr="00C14460">
        <w:rPr>
          <w:i/>
          <w:color w:val="000000"/>
          <w:sz w:val="28"/>
          <w:szCs w:val="28"/>
        </w:rPr>
        <w:t>.</w:t>
      </w:r>
    </w:p>
    <w:p w:rsidR="00C14460" w:rsidRDefault="00C14460" w:rsidP="00C14460">
      <w:pPr>
        <w:spacing w:before="120" w:after="120" w:line="288" w:lineRule="auto"/>
        <w:ind w:firstLine="851"/>
        <w:jc w:val="both"/>
        <w:rPr>
          <w:i/>
          <w:color w:val="000000"/>
          <w:sz w:val="28"/>
          <w:szCs w:val="28"/>
        </w:rPr>
      </w:pPr>
      <w:r w:rsidRPr="00C14460">
        <w:rPr>
          <w:i/>
          <w:color w:val="000000"/>
          <w:sz w:val="28"/>
          <w:szCs w:val="28"/>
        </w:rPr>
        <w:lastRenderedPageBreak/>
        <w:t xml:space="preserve">5. Đối với nhà ở xã hội do cá nhân tự đầu tư xây dựng thì giá thuê nhà ở phải bảo đảm phù hợp với khung giá do </w:t>
      </w:r>
      <w:r w:rsidRPr="00C14460">
        <w:rPr>
          <w:b/>
          <w:i/>
          <w:color w:val="000000"/>
          <w:sz w:val="28"/>
          <w:szCs w:val="28"/>
        </w:rPr>
        <w:t>Ủy ban nhân dân cấp tỉnh quy định</w:t>
      </w:r>
      <w:r w:rsidRPr="00C14460">
        <w:rPr>
          <w:i/>
          <w:color w:val="000000"/>
          <w:sz w:val="28"/>
          <w:szCs w:val="28"/>
        </w:rPr>
        <w:t>.</w:t>
      </w:r>
    </w:p>
    <w:p w:rsidR="00C14460" w:rsidRPr="00C14460" w:rsidRDefault="00C14460" w:rsidP="00C14460">
      <w:pPr>
        <w:spacing w:before="120" w:after="120" w:line="288" w:lineRule="auto"/>
        <w:ind w:firstLine="851"/>
        <w:jc w:val="both"/>
        <w:rPr>
          <w:b/>
          <w:color w:val="000000"/>
          <w:sz w:val="28"/>
          <w:szCs w:val="28"/>
        </w:rPr>
      </w:pPr>
      <w:r w:rsidRPr="00C14460">
        <w:rPr>
          <w:b/>
          <w:color w:val="000000"/>
          <w:sz w:val="28"/>
          <w:szCs w:val="28"/>
        </w:rPr>
        <w:t xml:space="preserve">2. </w:t>
      </w:r>
      <w:r>
        <w:rPr>
          <w:b/>
          <w:color w:val="000000"/>
          <w:sz w:val="28"/>
          <w:szCs w:val="28"/>
        </w:rPr>
        <w:t xml:space="preserve">Căn cứ </w:t>
      </w:r>
      <w:bookmarkStart w:id="1" w:name="dieu_99"/>
      <w:r w:rsidRPr="00C14460">
        <w:rPr>
          <w:b/>
          <w:color w:val="000000"/>
          <w:sz w:val="28"/>
          <w:szCs w:val="28"/>
        </w:rPr>
        <w:t>Điều 99</w:t>
      </w:r>
      <w:r>
        <w:rPr>
          <w:b/>
          <w:color w:val="000000"/>
          <w:sz w:val="28"/>
          <w:szCs w:val="28"/>
        </w:rPr>
        <w:t xml:space="preserve"> </w:t>
      </w:r>
      <w:r w:rsidRPr="00C14460">
        <w:rPr>
          <w:b/>
          <w:color w:val="000000"/>
          <w:sz w:val="28"/>
          <w:szCs w:val="28"/>
        </w:rPr>
        <w:t>Luật Nhà ở năm 2023 quy định</w:t>
      </w:r>
      <w:r>
        <w:rPr>
          <w:b/>
          <w:color w:val="000000"/>
          <w:sz w:val="28"/>
          <w:szCs w:val="28"/>
        </w:rPr>
        <w:t>:</w:t>
      </w:r>
      <w:r w:rsidRPr="00C14460">
        <w:rPr>
          <w:b/>
          <w:color w:val="000000"/>
          <w:sz w:val="28"/>
          <w:szCs w:val="28"/>
        </w:rPr>
        <w:t xml:space="preserve"> Giá cho thuê nhà lưu trú công nhân trong khu công nghiệp</w:t>
      </w:r>
      <w:bookmarkEnd w:id="1"/>
    </w:p>
    <w:p w:rsidR="00C14460" w:rsidRDefault="00C14460" w:rsidP="00C14460">
      <w:pPr>
        <w:pStyle w:val="NormalWeb"/>
        <w:shd w:val="clear" w:color="auto" w:fill="FFFFFF"/>
        <w:spacing w:before="120" w:beforeAutospacing="0" w:after="120" w:afterAutospacing="0" w:line="288" w:lineRule="auto"/>
        <w:ind w:firstLine="851"/>
        <w:jc w:val="both"/>
        <w:rPr>
          <w:i/>
          <w:color w:val="000000"/>
          <w:sz w:val="28"/>
          <w:szCs w:val="28"/>
        </w:rPr>
      </w:pPr>
      <w:r w:rsidRPr="00C14460">
        <w:rPr>
          <w:i/>
          <w:color w:val="000000"/>
          <w:sz w:val="28"/>
          <w:szCs w:val="28"/>
        </w:rPr>
        <w:t>Giá cho thuê nhà lưu trú công nhân trong khu công nghiệp do bên cho thuê thỏa thuận với bên thuê theo khung giá do Ủy ban nhân dân cấp tỉnh quy định.</w:t>
      </w:r>
    </w:p>
    <w:p w:rsidR="00C14460" w:rsidRPr="00C14460" w:rsidRDefault="00C14460" w:rsidP="00C14460">
      <w:pPr>
        <w:pStyle w:val="NormalWeb"/>
        <w:shd w:val="clear" w:color="auto" w:fill="FFFFFF"/>
        <w:spacing w:before="120" w:beforeAutospacing="0" w:after="120" w:afterAutospacing="0" w:line="288" w:lineRule="auto"/>
        <w:ind w:firstLine="851"/>
        <w:rPr>
          <w:i/>
          <w:color w:val="000000"/>
          <w:sz w:val="28"/>
          <w:szCs w:val="28"/>
        </w:rPr>
      </w:pPr>
      <w:r>
        <w:rPr>
          <w:color w:val="000000"/>
          <w:sz w:val="28"/>
          <w:szCs w:val="28"/>
        </w:rPr>
        <w:t xml:space="preserve">3. </w:t>
      </w:r>
      <w:r w:rsidRPr="002101BD">
        <w:rPr>
          <w:sz w:val="28"/>
          <w:szCs w:val="28"/>
        </w:rPr>
        <w:t>Căn cứ Quyết định số 321/QĐ-UBND ngày 05/02/2024 của Ủy ban nhân dân tỉnh Nam Định về việc ban hành Danh mục Quyết định của Ủy ban nhân dân tỉnh quy định chi tiết các nội dung được giao tại các Luật được Quốc hội khóa XV thông qua tại kỳ họp thứ 6;</w:t>
      </w:r>
    </w:p>
    <w:p w:rsidR="00C14460" w:rsidRDefault="00C14460" w:rsidP="00C14460">
      <w:pPr>
        <w:pBdr>
          <w:top w:val="nil"/>
          <w:left w:val="nil"/>
          <w:bottom w:val="nil"/>
          <w:right w:val="nil"/>
          <w:between w:val="nil"/>
        </w:pBdr>
        <w:shd w:val="clear" w:color="auto" w:fill="FFFFFF"/>
        <w:spacing w:before="60" w:after="60" w:line="264" w:lineRule="auto"/>
        <w:ind w:firstLine="851"/>
        <w:jc w:val="both"/>
        <w:rPr>
          <w:spacing w:val="4"/>
          <w:sz w:val="28"/>
          <w:szCs w:val="28"/>
        </w:rPr>
      </w:pPr>
      <w:r w:rsidRPr="0001467D">
        <w:rPr>
          <w:spacing w:val="4"/>
          <w:sz w:val="28"/>
          <w:szCs w:val="28"/>
        </w:rPr>
        <w:t xml:space="preserve">Do đó, việc xây dựng Quyết định </w:t>
      </w:r>
      <w:r>
        <w:rPr>
          <w:spacing w:val="4"/>
          <w:sz w:val="28"/>
          <w:szCs w:val="28"/>
        </w:rPr>
        <w:t xml:space="preserve">ban hành </w:t>
      </w:r>
      <w:r w:rsidRPr="00C14460">
        <w:rPr>
          <w:spacing w:val="4"/>
          <w:sz w:val="28"/>
          <w:szCs w:val="28"/>
        </w:rPr>
        <w:t xml:space="preserve">Khung giá thuê nhà ở xã hội được đầu tư xây dựng không bằng nguồn vốn đầu tư công, nguồn tài chính công đoàn, khung giá cho thuê nhà lưu trú công nhân trong khu công nghiệp trên địa bàn tỉnh Nam Định </w:t>
      </w:r>
      <w:r w:rsidRPr="0001467D">
        <w:rPr>
          <w:spacing w:val="4"/>
          <w:sz w:val="28"/>
          <w:szCs w:val="28"/>
        </w:rPr>
        <w:t>là cần thiết và đúng quy định.</w:t>
      </w:r>
    </w:p>
    <w:p w:rsidR="00C14460" w:rsidRDefault="00C14460" w:rsidP="00C14460">
      <w:pPr>
        <w:pBdr>
          <w:top w:val="nil"/>
          <w:left w:val="nil"/>
          <w:bottom w:val="nil"/>
          <w:right w:val="nil"/>
          <w:between w:val="nil"/>
        </w:pBdr>
        <w:shd w:val="clear" w:color="auto" w:fill="FFFFFF"/>
        <w:spacing w:before="60" w:after="60" w:line="264" w:lineRule="auto"/>
        <w:ind w:firstLine="851"/>
        <w:jc w:val="both"/>
        <w:rPr>
          <w:b/>
          <w:spacing w:val="-2"/>
          <w:sz w:val="28"/>
          <w:szCs w:val="28"/>
        </w:rPr>
      </w:pPr>
      <w:r w:rsidRPr="00C14460">
        <w:rPr>
          <w:b/>
          <w:spacing w:val="-2"/>
          <w:sz w:val="28"/>
          <w:szCs w:val="28"/>
          <w:highlight w:val="white"/>
        </w:rPr>
        <w:t xml:space="preserve">III. Phương pháp xá định </w:t>
      </w:r>
      <w:r w:rsidRPr="00F96FD7">
        <w:rPr>
          <w:b/>
          <w:spacing w:val="-2"/>
          <w:sz w:val="28"/>
          <w:szCs w:val="28"/>
          <w:highlight w:val="white"/>
        </w:rPr>
        <w:t>Khung giá thuê nhà ở xã hội được đầu tư xây dựng không bằng nguồn vốn đầu tư công, nguồn tài chính công đoàn, khung giá cho thuê nhà lưu trú công nhân trong khu công nghiệp trên địa bàn tỉnh Nam Định</w:t>
      </w:r>
    </w:p>
    <w:p w:rsidR="00464964" w:rsidRDefault="00C14460" w:rsidP="00464964">
      <w:pPr>
        <w:pBdr>
          <w:top w:val="nil"/>
          <w:left w:val="nil"/>
          <w:bottom w:val="nil"/>
          <w:right w:val="nil"/>
          <w:between w:val="nil"/>
        </w:pBdr>
        <w:shd w:val="clear" w:color="auto" w:fill="FFFFFF"/>
        <w:spacing w:before="60" w:after="60" w:line="264" w:lineRule="auto"/>
        <w:ind w:firstLine="851"/>
        <w:jc w:val="both"/>
        <w:rPr>
          <w:b/>
          <w:spacing w:val="-2"/>
          <w:sz w:val="28"/>
          <w:szCs w:val="28"/>
        </w:rPr>
      </w:pPr>
      <w:r>
        <w:rPr>
          <w:b/>
          <w:spacing w:val="-2"/>
          <w:sz w:val="28"/>
          <w:szCs w:val="28"/>
        </w:rPr>
        <w:t>1. Phương pháp xây dựng</w:t>
      </w:r>
    </w:p>
    <w:p w:rsidR="00464964" w:rsidRDefault="00C14460" w:rsidP="00464964">
      <w:pPr>
        <w:pBdr>
          <w:top w:val="nil"/>
          <w:left w:val="nil"/>
          <w:bottom w:val="nil"/>
          <w:right w:val="nil"/>
          <w:between w:val="nil"/>
        </w:pBdr>
        <w:shd w:val="clear" w:color="auto" w:fill="FFFFFF"/>
        <w:spacing w:before="60" w:after="60" w:line="264" w:lineRule="auto"/>
        <w:ind w:firstLine="851"/>
        <w:jc w:val="both"/>
        <w:rPr>
          <w:iCs/>
          <w:sz w:val="28"/>
          <w:szCs w:val="28"/>
        </w:rPr>
      </w:pPr>
      <w:r w:rsidRPr="00C14460">
        <w:rPr>
          <w:spacing w:val="4"/>
          <w:sz w:val="28"/>
          <w:szCs w:val="28"/>
        </w:rPr>
        <w:t>Căn cứ khoản 1 Điều 34 Nghị định số 2024/NĐ-CP ngày.</w:t>
      </w:r>
      <w:r>
        <w:rPr>
          <w:spacing w:val="4"/>
          <w:sz w:val="28"/>
          <w:szCs w:val="28"/>
        </w:rPr>
        <w:t>.</w:t>
      </w:r>
      <w:r w:rsidRPr="00C14460">
        <w:rPr>
          <w:spacing w:val="4"/>
          <w:sz w:val="28"/>
          <w:szCs w:val="28"/>
        </w:rPr>
        <w:t>.tháng…</w:t>
      </w:r>
      <w:r>
        <w:rPr>
          <w:spacing w:val="4"/>
          <w:sz w:val="28"/>
          <w:szCs w:val="28"/>
        </w:rPr>
        <w:t>.</w:t>
      </w:r>
      <w:r w:rsidRPr="00C14460">
        <w:rPr>
          <w:spacing w:val="4"/>
          <w:sz w:val="28"/>
          <w:szCs w:val="28"/>
        </w:rPr>
        <w:t xml:space="preserve">năm 2024 của Chính </w:t>
      </w:r>
      <w:r>
        <w:rPr>
          <w:spacing w:val="4"/>
          <w:sz w:val="28"/>
          <w:szCs w:val="28"/>
        </w:rPr>
        <w:t>phủ quy định chi tiết một số điều của Luật nhà ở về phát tri</w:t>
      </w:r>
      <w:r w:rsidR="00464964">
        <w:rPr>
          <w:spacing w:val="4"/>
          <w:sz w:val="28"/>
          <w:szCs w:val="28"/>
        </w:rPr>
        <w:t>ển và quản lý nhà ở xã hội, quy định: “1.</w:t>
      </w:r>
      <w:r w:rsidR="00464964" w:rsidRPr="00C5211F">
        <w:rPr>
          <w:sz w:val="28"/>
          <w:szCs w:val="28"/>
        </w:rPr>
        <w:t xml:space="preserve">Phương pháp xác định giá thuê nhà ở xã hội được đầu tư xây dựng không phải bằng vốn đầu tư công, nguồn tài chính công đoàn </w:t>
      </w:r>
      <w:r w:rsidR="00464964" w:rsidRPr="00464964">
        <w:rPr>
          <w:b/>
          <w:sz w:val="28"/>
          <w:szCs w:val="28"/>
        </w:rPr>
        <w:t>được áp dụng theo phương pháp xác định giá thuê nhà ở xã hội bằng vốn đầu tư công quy định tại khoản 1 Điều 31 của Nghị định này</w:t>
      </w:r>
      <w:r w:rsidR="00464964" w:rsidRPr="00C5211F">
        <w:rPr>
          <w:sz w:val="28"/>
          <w:szCs w:val="28"/>
        </w:rPr>
        <w:t xml:space="preserve">. </w:t>
      </w:r>
      <w:r w:rsidR="00464964" w:rsidRPr="00C5211F">
        <w:rPr>
          <w:iCs/>
          <w:sz w:val="28"/>
          <w:szCs w:val="28"/>
        </w:rPr>
        <w:t>Giá thuê nhà ở xã hội bao gồm kinh phí bảo trì và lợi nhuận định mức theo quy định và không bao gồm các ưu đãi của Nhà nước.</w:t>
      </w:r>
      <w:r w:rsidR="00464964">
        <w:rPr>
          <w:iCs/>
          <w:sz w:val="28"/>
          <w:szCs w:val="28"/>
        </w:rPr>
        <w:t>”</w:t>
      </w:r>
    </w:p>
    <w:p w:rsidR="00464964" w:rsidRPr="00464964" w:rsidRDefault="00464964" w:rsidP="00464964">
      <w:pPr>
        <w:pBdr>
          <w:top w:val="nil"/>
          <w:left w:val="nil"/>
          <w:bottom w:val="nil"/>
          <w:right w:val="nil"/>
          <w:between w:val="nil"/>
        </w:pBdr>
        <w:shd w:val="clear" w:color="auto" w:fill="FFFFFF"/>
        <w:spacing w:before="60" w:after="60" w:line="264" w:lineRule="auto"/>
        <w:ind w:firstLine="851"/>
        <w:jc w:val="both"/>
        <w:rPr>
          <w:b/>
          <w:spacing w:val="-2"/>
          <w:sz w:val="28"/>
          <w:szCs w:val="28"/>
        </w:rPr>
      </w:pPr>
      <w:r>
        <w:rPr>
          <w:iCs/>
          <w:sz w:val="28"/>
          <w:szCs w:val="28"/>
        </w:rPr>
        <w:t xml:space="preserve">- Giá cho thuê nhà ở xã hội, nhà lưu trú công nhân được tính toán theo công thức tính giá thuê nhà ở xã hội quy định tại điểm a, khoản 1, Điều 31 </w:t>
      </w:r>
      <w:r w:rsidRPr="00C14460">
        <w:rPr>
          <w:spacing w:val="4"/>
          <w:sz w:val="28"/>
          <w:szCs w:val="28"/>
        </w:rPr>
        <w:t>Nghị định số 2024/NĐ-CP ngày.</w:t>
      </w:r>
      <w:r>
        <w:rPr>
          <w:spacing w:val="4"/>
          <w:sz w:val="28"/>
          <w:szCs w:val="28"/>
        </w:rPr>
        <w:t>.</w:t>
      </w:r>
      <w:r w:rsidRPr="00C14460">
        <w:rPr>
          <w:spacing w:val="4"/>
          <w:sz w:val="28"/>
          <w:szCs w:val="28"/>
        </w:rPr>
        <w:t>.tháng…</w:t>
      </w:r>
      <w:r>
        <w:rPr>
          <w:spacing w:val="4"/>
          <w:sz w:val="28"/>
          <w:szCs w:val="28"/>
        </w:rPr>
        <w:t>.</w:t>
      </w:r>
      <w:r w:rsidRPr="00C14460">
        <w:rPr>
          <w:spacing w:val="4"/>
          <w:sz w:val="28"/>
          <w:szCs w:val="28"/>
        </w:rPr>
        <w:t xml:space="preserve">năm 2024 của Chính </w:t>
      </w:r>
      <w:r>
        <w:rPr>
          <w:spacing w:val="4"/>
          <w:sz w:val="28"/>
          <w:szCs w:val="28"/>
        </w:rPr>
        <w:t>phủ quy định chi tiết một số điều của Luật nhà ở về phát triển và quản lý nhà ở xã hội</w:t>
      </w:r>
    </w:p>
    <w:p w:rsidR="00A014DF" w:rsidRDefault="00464964" w:rsidP="00A014DF">
      <w:pPr>
        <w:pBdr>
          <w:top w:val="nil"/>
          <w:left w:val="nil"/>
          <w:bottom w:val="nil"/>
          <w:right w:val="nil"/>
          <w:between w:val="nil"/>
        </w:pBdr>
        <w:shd w:val="clear" w:color="auto" w:fill="FFFFFF"/>
        <w:spacing w:before="60" w:after="60" w:line="264" w:lineRule="auto"/>
        <w:ind w:firstLine="851"/>
        <w:jc w:val="both"/>
        <w:rPr>
          <w:color w:val="000000"/>
          <w:sz w:val="28"/>
          <w:szCs w:val="28"/>
        </w:rPr>
      </w:pPr>
      <w:r>
        <w:rPr>
          <w:spacing w:val="4"/>
          <w:sz w:val="28"/>
          <w:szCs w:val="28"/>
        </w:rPr>
        <w:t xml:space="preserve">- </w:t>
      </w:r>
      <w:r>
        <w:rPr>
          <w:iCs/>
          <w:sz w:val="28"/>
          <w:szCs w:val="28"/>
        </w:rPr>
        <w:t xml:space="preserve">Giá cho thuê nhà ở xã hội, nhà lưu trú công nhân được xác định trên cơ sở </w:t>
      </w:r>
      <w:r w:rsidR="00A014DF">
        <w:rPr>
          <w:color w:val="000000"/>
          <w:sz w:val="28"/>
          <w:szCs w:val="28"/>
        </w:rPr>
        <w:t>suất vốn đầu tư xây dựng công trình và giá xây dựng tổng hợp bộ phận kết cấu công trình năm 2022 ban hành theo Quyết định số 510/QĐ-BXD ngày 19 tháng 5 năm 2023 của Bộ trưởng Bộ Xây dựng;</w:t>
      </w:r>
    </w:p>
    <w:p w:rsidR="00A014DF" w:rsidRDefault="00A014DF" w:rsidP="00A014DF">
      <w:pPr>
        <w:pBdr>
          <w:top w:val="nil"/>
          <w:left w:val="nil"/>
          <w:bottom w:val="nil"/>
          <w:right w:val="nil"/>
          <w:between w:val="nil"/>
        </w:pBdr>
        <w:shd w:val="clear" w:color="auto" w:fill="FFFFFF"/>
        <w:spacing w:before="60" w:after="60" w:line="264" w:lineRule="auto"/>
        <w:ind w:firstLine="851"/>
        <w:jc w:val="both"/>
        <w:rPr>
          <w:iCs/>
          <w:sz w:val="28"/>
          <w:szCs w:val="28"/>
        </w:rPr>
      </w:pPr>
      <w:r>
        <w:rPr>
          <w:iCs/>
          <w:sz w:val="28"/>
          <w:szCs w:val="28"/>
        </w:rPr>
        <w:t>- Trên cơ sở Giá cho thuê nhà ở xã hội, nhà lưu trú công nhân  tính toán theo xuất vốn đầu tư ở trên, so sánh với mặt</w:t>
      </w:r>
      <w:r w:rsidRPr="00A014DF">
        <w:rPr>
          <w:iCs/>
          <w:sz w:val="28"/>
          <w:szCs w:val="28"/>
        </w:rPr>
        <w:tab/>
      </w:r>
      <w:r>
        <w:rPr>
          <w:iCs/>
          <w:sz w:val="28"/>
          <w:szCs w:val="28"/>
        </w:rPr>
        <w:t xml:space="preserve"> bằng giá thuê nhà các loại tham khảo các tỉnh lân cân để điều chỉnh thành khung Giá cho thuê nhà ở xã hội, nhà lưu trú công nhân cho phù hợp với tỉnh Nam Định.</w:t>
      </w:r>
    </w:p>
    <w:p w:rsidR="00A014DF" w:rsidRPr="00A014DF" w:rsidRDefault="00A014DF" w:rsidP="00A014DF">
      <w:pPr>
        <w:pBdr>
          <w:top w:val="nil"/>
          <w:left w:val="nil"/>
          <w:bottom w:val="nil"/>
          <w:right w:val="nil"/>
          <w:between w:val="nil"/>
        </w:pBdr>
        <w:shd w:val="clear" w:color="auto" w:fill="FFFFFF"/>
        <w:spacing w:before="60" w:after="60" w:line="264" w:lineRule="auto"/>
        <w:ind w:firstLine="851"/>
        <w:jc w:val="both"/>
        <w:rPr>
          <w:b/>
          <w:iCs/>
          <w:sz w:val="28"/>
          <w:szCs w:val="28"/>
        </w:rPr>
      </w:pPr>
      <w:r w:rsidRPr="00A014DF">
        <w:rPr>
          <w:b/>
          <w:iCs/>
          <w:sz w:val="28"/>
          <w:szCs w:val="28"/>
        </w:rPr>
        <w:t>2. Công thức tính</w:t>
      </w:r>
      <w:r w:rsidRPr="00A014DF">
        <w:rPr>
          <w:b/>
          <w:iCs/>
          <w:sz w:val="28"/>
          <w:szCs w:val="28"/>
        </w:rPr>
        <w:tab/>
      </w:r>
    </w:p>
    <w:p w:rsidR="00A014DF" w:rsidRPr="00DA6BF3" w:rsidRDefault="00A014DF"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a) Căn cứ khoản 1 Điều 34 Nghị định số 2024/NĐ-CP ngày...tháng….năm 2024 của Chính phủ quy định chi tiết một số điều của Luật nhà ở về phát triển và quản lý nhà ở xã hội, quy định: “1.Phương pháp xác định giá thuê nhà ở xã hội được đầu tư xây dựng không phải bằng vốn đầu tư công, nguồn tài chính công đoàn được áp dụng theo phương pháp xác định giá thuê nhà ở xã hội bằng vốn đầu tư công quy định tại khoản 1 Điều 31 của Nghị định này. Giá thuê nhà ở xã hội bao gồm kinh phí bảo trì và lợi nhuận định mức theo quy định và không bao gồm các ưu đãi của Nhà nước.”</w:t>
      </w:r>
    </w:p>
    <w:p w:rsidR="00A014DF" w:rsidRPr="00DA6BF3" w:rsidRDefault="00A014DF"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 xml:space="preserve">b). </w:t>
      </w:r>
      <w:r w:rsidR="00CA7D3C" w:rsidRPr="00DA6BF3">
        <w:rPr>
          <w:color w:val="000000" w:themeColor="text1"/>
          <w:sz w:val="28"/>
          <w:szCs w:val="28"/>
          <w:lang w:val="vi-VN"/>
        </w:rPr>
        <w:t>Theo dự thảo Nghị định g</w:t>
      </w:r>
      <w:r w:rsidR="005E3EE2" w:rsidRPr="00DA6BF3">
        <w:rPr>
          <w:color w:val="000000" w:themeColor="text1"/>
          <w:sz w:val="28"/>
          <w:szCs w:val="28"/>
          <w:lang w:val="vi-VN"/>
        </w:rPr>
        <w:t xml:space="preserve">iá thuê </w:t>
      </w:r>
      <w:r w:rsidR="00CA7D3C" w:rsidRPr="00DA6BF3">
        <w:rPr>
          <w:color w:val="000000" w:themeColor="text1"/>
          <w:sz w:val="28"/>
          <w:szCs w:val="28"/>
          <w:lang w:val="vi-VN"/>
        </w:rPr>
        <w:t>nhà ở xã hội</w:t>
      </w:r>
      <w:r w:rsidR="00CA7D3C" w:rsidRPr="00E93C5E">
        <w:rPr>
          <w:color w:val="000000" w:themeColor="text1"/>
          <w:sz w:val="28"/>
          <w:szCs w:val="28"/>
          <w:lang w:val="vi-VN"/>
        </w:rPr>
        <w:t xml:space="preserve"> được xác định trên cơ sở tính đủ chi phí quy định tại khoản 1 Điều 86 của Luật Nhà ở và không tính các ưu đãi quy định tại khoản 1 Điều 85 của Luật Nhà ở</w:t>
      </w:r>
      <w:r w:rsidR="00CA7D3C" w:rsidRPr="00DA6BF3">
        <w:rPr>
          <w:color w:val="000000" w:themeColor="text1"/>
          <w:sz w:val="28"/>
          <w:szCs w:val="28"/>
          <w:lang w:val="vi-VN"/>
        </w:rPr>
        <w:t>;</w:t>
      </w:r>
    </w:p>
    <w:p w:rsidR="001F0B15" w:rsidRPr="00DA6BF3" w:rsidRDefault="00A014DF"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c</w:t>
      </w:r>
      <w:r w:rsidR="001F0B15" w:rsidRPr="00E93C5E">
        <w:rPr>
          <w:color w:val="000000" w:themeColor="text1"/>
          <w:sz w:val="28"/>
          <w:szCs w:val="28"/>
          <w:lang w:val="vi-VN"/>
        </w:rPr>
        <w:t>) Phương pháp xác định giá thuê nhà ở xã hội được xác định theo công thức sau</w:t>
      </w:r>
      <w:r w:rsidR="00CA7D3C" w:rsidRPr="00DA6BF3">
        <w:rPr>
          <w:color w:val="000000" w:themeColor="text1"/>
          <w:sz w:val="28"/>
          <w:szCs w:val="28"/>
          <w:lang w:val="vi-VN"/>
        </w:rPr>
        <w:t xml:space="preserve"> (theo điều 34 dự thảo Nghị định nhưng có bổ sung thêm lợi nhuận nhà đầu tư)</w:t>
      </w:r>
      <w:r w:rsidR="001F0B15" w:rsidRPr="00E93C5E">
        <w:rPr>
          <w:color w:val="000000" w:themeColor="text1"/>
          <w:sz w:val="28"/>
          <w:szCs w:val="28"/>
          <w:lang w:val="vi-VN"/>
        </w:rPr>
        <w:t>:</w:t>
      </w:r>
    </w:p>
    <w:tbl>
      <w:tblPr>
        <w:tblW w:w="5812" w:type="dxa"/>
        <w:tblCellSpacing w:w="0" w:type="dxa"/>
        <w:tblInd w:w="1985" w:type="dxa"/>
        <w:shd w:val="clear" w:color="auto" w:fill="FFFFFF"/>
        <w:tblCellMar>
          <w:left w:w="0" w:type="dxa"/>
          <w:right w:w="0" w:type="dxa"/>
        </w:tblCellMar>
        <w:tblLook w:val="04A0"/>
      </w:tblPr>
      <w:tblGrid>
        <w:gridCol w:w="708"/>
        <w:gridCol w:w="1141"/>
        <w:gridCol w:w="3963"/>
      </w:tblGrid>
      <w:tr w:rsidR="001F0B15" w:rsidRPr="00E93C5E" w:rsidTr="009870FC">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rsidR="001F0B15" w:rsidRPr="00E93C5E" w:rsidRDefault="001F0B15" w:rsidP="009870FC">
            <w:pPr>
              <w:spacing w:before="120" w:after="120"/>
              <w:jc w:val="both"/>
              <w:rPr>
                <w:color w:val="000000" w:themeColor="text1"/>
                <w:sz w:val="28"/>
                <w:szCs w:val="28"/>
              </w:rPr>
            </w:pPr>
            <w:r w:rsidRPr="00E93C5E">
              <w:rPr>
                <w:color w:val="000000" w:themeColor="text1"/>
                <w:sz w:val="28"/>
                <w:szCs w:val="28"/>
              </w:rPr>
              <w:t>G</w:t>
            </w:r>
            <w:r w:rsidRPr="00E93C5E">
              <w:rPr>
                <w:color w:val="000000" w:themeColor="text1"/>
                <w:sz w:val="28"/>
                <w:szCs w:val="28"/>
                <w:vertAlign w:val="subscript"/>
              </w:rPr>
              <w:t>t</w:t>
            </w:r>
            <w:r w:rsidRPr="00E93C5E">
              <w:rPr>
                <w:color w:val="000000" w:themeColor="text1"/>
                <w:sz w:val="28"/>
                <w:szCs w:val="28"/>
              </w:rPr>
              <w:t> =</w:t>
            </w:r>
          </w:p>
        </w:tc>
        <w:tc>
          <w:tcPr>
            <w:tcW w:w="1141"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F0B15" w:rsidRPr="00E93C5E" w:rsidRDefault="001F0B15" w:rsidP="009870FC">
            <w:pPr>
              <w:spacing w:before="120" w:after="120"/>
              <w:jc w:val="center"/>
              <w:rPr>
                <w:color w:val="000000" w:themeColor="text1"/>
                <w:sz w:val="28"/>
                <w:szCs w:val="28"/>
              </w:rPr>
            </w:pPr>
            <w:r w:rsidRPr="00E93C5E">
              <w:rPr>
                <w:color w:val="000000" w:themeColor="text1"/>
                <w:sz w:val="28"/>
                <w:szCs w:val="28"/>
              </w:rPr>
              <w:t>V</w:t>
            </w:r>
            <w:r w:rsidRPr="00E93C5E">
              <w:rPr>
                <w:color w:val="000000" w:themeColor="text1"/>
                <w:sz w:val="28"/>
                <w:szCs w:val="28"/>
                <w:vertAlign w:val="subscript"/>
              </w:rPr>
              <w:t>đ</w:t>
            </w:r>
            <w:r w:rsidRPr="00E93C5E">
              <w:rPr>
                <w:color w:val="000000" w:themeColor="text1"/>
                <w:sz w:val="28"/>
                <w:szCs w:val="28"/>
              </w:rPr>
              <w:t> + B</w:t>
            </w:r>
            <w:r w:rsidRPr="00E93C5E">
              <w:rPr>
                <w:color w:val="000000" w:themeColor="text1"/>
                <w:sz w:val="28"/>
                <w:szCs w:val="28"/>
                <w:vertAlign w:val="subscript"/>
              </w:rPr>
              <w:t>t</w:t>
            </w:r>
          </w:p>
        </w:tc>
        <w:tc>
          <w:tcPr>
            <w:tcW w:w="3963" w:type="dxa"/>
            <w:vMerge w:val="restart"/>
            <w:shd w:val="clear" w:color="auto" w:fill="FFFFFF"/>
            <w:tcMar>
              <w:top w:w="0" w:type="dxa"/>
              <w:left w:w="108" w:type="dxa"/>
              <w:bottom w:w="0" w:type="dxa"/>
              <w:right w:w="108" w:type="dxa"/>
            </w:tcMar>
            <w:vAlign w:val="center"/>
            <w:hideMark/>
          </w:tcPr>
          <w:p w:rsidR="001F0B15" w:rsidRPr="00E93C5E" w:rsidRDefault="001F0B15" w:rsidP="009870FC">
            <w:pPr>
              <w:spacing w:before="120" w:after="120"/>
              <w:jc w:val="both"/>
              <w:rPr>
                <w:color w:val="000000" w:themeColor="text1"/>
                <w:sz w:val="28"/>
                <w:szCs w:val="28"/>
              </w:rPr>
            </w:pPr>
            <w:r w:rsidRPr="00E93C5E">
              <w:rPr>
                <w:color w:val="000000" w:themeColor="text1"/>
                <w:sz w:val="28"/>
                <w:szCs w:val="28"/>
              </w:rPr>
              <w:t>x K x (1+GTGT)</w:t>
            </w:r>
            <w:r w:rsidR="007369CE" w:rsidRPr="00E93C5E">
              <w:rPr>
                <w:color w:val="000000" w:themeColor="text1"/>
                <w:sz w:val="28"/>
                <w:szCs w:val="28"/>
              </w:rPr>
              <w:t xml:space="preserve"> + L</w:t>
            </w:r>
          </w:p>
        </w:tc>
      </w:tr>
      <w:tr w:rsidR="001F0B15" w:rsidRPr="00E93C5E" w:rsidTr="009870FC">
        <w:trPr>
          <w:trHeight w:val="352"/>
          <w:tblCellSpacing w:w="0" w:type="dxa"/>
        </w:trPr>
        <w:tc>
          <w:tcPr>
            <w:tcW w:w="708" w:type="dxa"/>
            <w:vMerge/>
            <w:shd w:val="clear" w:color="auto" w:fill="FFFFFF"/>
            <w:vAlign w:val="center"/>
            <w:hideMark/>
          </w:tcPr>
          <w:p w:rsidR="001F0B15" w:rsidRPr="00E93C5E" w:rsidRDefault="001F0B15" w:rsidP="009870FC">
            <w:pPr>
              <w:spacing w:before="120" w:after="120"/>
              <w:jc w:val="both"/>
              <w:rPr>
                <w:color w:val="000000" w:themeColor="text1"/>
                <w:sz w:val="28"/>
                <w:szCs w:val="28"/>
              </w:rPr>
            </w:pPr>
          </w:p>
        </w:tc>
        <w:tc>
          <w:tcPr>
            <w:tcW w:w="1141" w:type="dxa"/>
            <w:tcBorders>
              <w:top w:val="nil"/>
              <w:left w:val="nil"/>
              <w:bottom w:val="nil"/>
              <w:right w:val="nil"/>
            </w:tcBorders>
            <w:shd w:val="clear" w:color="auto" w:fill="FFFFFF"/>
            <w:tcMar>
              <w:top w:w="0" w:type="dxa"/>
              <w:left w:w="108" w:type="dxa"/>
              <w:bottom w:w="0" w:type="dxa"/>
              <w:right w:w="108" w:type="dxa"/>
            </w:tcMar>
            <w:hideMark/>
          </w:tcPr>
          <w:p w:rsidR="001F0B15" w:rsidRPr="00E93C5E" w:rsidRDefault="001F0B15" w:rsidP="009870FC">
            <w:pPr>
              <w:spacing w:before="120" w:after="120"/>
              <w:jc w:val="center"/>
              <w:rPr>
                <w:color w:val="000000" w:themeColor="text1"/>
                <w:sz w:val="28"/>
                <w:szCs w:val="28"/>
                <w:vertAlign w:val="superscript"/>
              </w:rPr>
            </w:pPr>
            <w:r w:rsidRPr="00E93C5E">
              <w:rPr>
                <w:color w:val="000000" w:themeColor="text1"/>
                <w:sz w:val="28"/>
                <w:szCs w:val="28"/>
              </w:rPr>
              <w:t>12xS</w:t>
            </w:r>
            <w:r w:rsidRPr="00E93C5E">
              <w:rPr>
                <w:color w:val="000000" w:themeColor="text1"/>
                <w:sz w:val="28"/>
                <w:szCs w:val="28"/>
                <w:vertAlign w:val="subscript"/>
              </w:rPr>
              <w:t>t</w:t>
            </w:r>
            <w:r w:rsidRPr="00E93C5E">
              <w:rPr>
                <w:color w:val="000000" w:themeColor="text1"/>
                <w:sz w:val="28"/>
                <w:szCs w:val="28"/>
              </w:rPr>
              <w:t> </w:t>
            </w:r>
          </w:p>
        </w:tc>
        <w:tc>
          <w:tcPr>
            <w:tcW w:w="3963" w:type="dxa"/>
            <w:vMerge/>
            <w:shd w:val="clear" w:color="auto" w:fill="FFFFFF"/>
            <w:vAlign w:val="center"/>
            <w:hideMark/>
          </w:tcPr>
          <w:p w:rsidR="001F0B15" w:rsidRPr="00E93C5E" w:rsidRDefault="001F0B15" w:rsidP="009870FC">
            <w:pPr>
              <w:spacing w:before="120" w:after="120"/>
              <w:jc w:val="both"/>
              <w:rPr>
                <w:color w:val="000000" w:themeColor="text1"/>
                <w:sz w:val="28"/>
                <w:szCs w:val="28"/>
              </w:rPr>
            </w:pPr>
          </w:p>
        </w:tc>
      </w:tr>
    </w:tbl>
    <w:p w:rsidR="001F0B15" w:rsidRPr="00DA6BF3" w:rsidRDefault="001F0B15"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Trong đó:</w:t>
      </w:r>
    </w:p>
    <w:p w:rsidR="001F0B15" w:rsidRPr="00DA6BF3" w:rsidRDefault="001F0B15"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 Gt: là giá thuê 01m2 sử dụng nhà ở trong 01 tháng (đồng/m2/tháng).</w:t>
      </w:r>
    </w:p>
    <w:p w:rsidR="0075189D" w:rsidRPr="00DA6BF3" w:rsidRDefault="0075189D"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 St: Diện tích sử dụng của chung cư nhà ở xã hội</w:t>
      </w:r>
    </w:p>
    <w:p w:rsidR="001F0B15" w:rsidRPr="00DA6BF3" w:rsidRDefault="001F0B15" w:rsidP="00DA6BF3">
      <w:pPr>
        <w:spacing w:before="120" w:after="120" w:line="288" w:lineRule="auto"/>
        <w:ind w:firstLine="720"/>
        <w:jc w:val="both"/>
        <w:rPr>
          <w:color w:val="000000" w:themeColor="text1"/>
          <w:sz w:val="28"/>
          <w:szCs w:val="28"/>
          <w:lang w:val="vi-VN"/>
        </w:rPr>
      </w:pPr>
      <w:bookmarkStart w:id="2" w:name="diem_b_2"/>
      <w:r w:rsidRPr="00DA6BF3">
        <w:rPr>
          <w:color w:val="000000" w:themeColor="text1"/>
          <w:sz w:val="28"/>
          <w:szCs w:val="28"/>
          <w:lang w:val="vi-VN"/>
        </w:rPr>
        <w:t xml:space="preserve">- Vđ: là toàn bộ chi phí hợp lý trước thuế để thực hiện dự án đầu tư xây dựng nhà ở xã hội (bao gồm cả các chi phí được phân bổ cho công trình nhà ở xã hội) theo quy định của pháp luật về quản lý đầu tư xây dựng công trình, được phân bổ hàng năm cho diện tích sử dụng nhà ở theo nguyên tắc bảo toàn vốn. </w:t>
      </w:r>
      <w:bookmarkEnd w:id="2"/>
    </w:p>
    <w:p w:rsidR="001F0B15" w:rsidRPr="00E93C5E" w:rsidRDefault="001F0B15"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Vđ xác định căn cứ theo giá trị quyết toán vốn đầu tư được cơ quan nhà nước có thẩm quyền phê duyệt; trường hợp chưa phê duyệt quyết toán thì Vđ xác định căn cứ theo chi phí đầu tư xây dựng công trình được cơ quan Nhà nước có thẩm quyền phê duyệt</w:t>
      </w:r>
      <w:r w:rsidRPr="00E93C5E">
        <w:rPr>
          <w:color w:val="000000" w:themeColor="text1"/>
          <w:sz w:val="28"/>
          <w:szCs w:val="28"/>
          <w:lang w:val="vi-VN"/>
        </w:rPr>
        <w:t xml:space="preserve"> </w:t>
      </w:r>
      <w:r w:rsidRPr="00DA6BF3">
        <w:rPr>
          <w:color w:val="000000" w:themeColor="text1"/>
          <w:sz w:val="28"/>
          <w:szCs w:val="28"/>
          <w:lang w:val="vi-VN"/>
        </w:rPr>
        <w:t>hoặc chi phí đầu tư xây dựng theo kết quả đấu thầu thực tế (nếu có)</w:t>
      </w:r>
      <w:r w:rsidRPr="00E93C5E">
        <w:rPr>
          <w:color w:val="000000" w:themeColor="text1"/>
          <w:sz w:val="28"/>
          <w:szCs w:val="28"/>
          <w:lang w:val="vi-VN"/>
        </w:rPr>
        <w:t>.</w:t>
      </w:r>
    </w:p>
    <w:p w:rsidR="001F0B15" w:rsidRPr="00E93C5E" w:rsidRDefault="00040418" w:rsidP="001F0B15">
      <w:pPr>
        <w:spacing w:before="120" w:after="120"/>
        <w:jc w:val="center"/>
        <w:rPr>
          <w:color w:val="000000" w:themeColor="text1"/>
          <w:sz w:val="28"/>
          <w:szCs w:val="28"/>
          <w:lang w:val="vi-VN"/>
        </w:rPr>
      </w:pPr>
      <m:oMath>
        <m:sSub>
          <m:sSubPr>
            <m:ctrlPr>
              <w:rPr>
                <w:rFonts w:ascii="Cambria Math" w:hAnsi="Cambria Math"/>
                <w:noProof/>
                <w:color w:val="000000" w:themeColor="text1"/>
                <w:sz w:val="28"/>
                <w:szCs w:val="28"/>
              </w:rPr>
            </m:ctrlPr>
          </m:sSubPr>
          <m:e>
            <m:r>
              <m:rPr>
                <m:sty m:val="p"/>
              </m:rPr>
              <w:rPr>
                <w:rFonts w:ascii="Cambria Math" w:hAnsi="Cambria Math"/>
                <w:noProof/>
                <w:color w:val="000000" w:themeColor="text1"/>
                <w:sz w:val="28"/>
                <w:szCs w:val="28"/>
                <w:lang w:val="vi-VN"/>
              </w:rPr>
              <m:t>V</m:t>
            </m:r>
          </m:e>
          <m:sub>
            <m:r>
              <m:rPr>
                <m:sty m:val="p"/>
              </m:rPr>
              <w:rPr>
                <w:rFonts w:ascii="Cambria Math" w:hAnsi="Cambria Math"/>
                <w:noProof/>
                <w:color w:val="000000" w:themeColor="text1"/>
                <w:sz w:val="28"/>
                <w:szCs w:val="28"/>
                <w:lang w:val="vi-VN"/>
              </w:rPr>
              <m:t>đ</m:t>
            </m:r>
          </m:sub>
        </m:sSub>
        <m:r>
          <m:rPr>
            <m:sty m:val="p"/>
          </m:rPr>
          <w:rPr>
            <w:rFonts w:ascii="Cambria Math" w:hAnsi="Cambria Math"/>
            <w:noProof/>
            <w:color w:val="000000" w:themeColor="text1"/>
            <w:sz w:val="28"/>
            <w:szCs w:val="28"/>
            <w:lang w:val="vi-VN"/>
          </w:rPr>
          <m:t>=</m:t>
        </m:r>
        <m:f>
          <m:fPr>
            <m:ctrlPr>
              <w:rPr>
                <w:rFonts w:ascii="Cambria Math" w:hAnsi="Cambria Math"/>
                <w:noProof/>
                <w:color w:val="000000" w:themeColor="text1"/>
                <w:sz w:val="28"/>
                <w:szCs w:val="28"/>
              </w:rPr>
            </m:ctrlPr>
          </m:fPr>
          <m:num>
            <m:sSub>
              <m:sSubPr>
                <m:ctrlPr>
                  <w:rPr>
                    <w:rFonts w:ascii="Cambria Math" w:hAnsi="Cambria Math"/>
                    <w:noProof/>
                    <w:color w:val="000000" w:themeColor="text1"/>
                    <w:sz w:val="28"/>
                    <w:szCs w:val="28"/>
                  </w:rPr>
                </m:ctrlPr>
              </m:sSubPr>
              <m:e>
                <m:r>
                  <m:rPr>
                    <m:sty m:val="p"/>
                  </m:rPr>
                  <w:rPr>
                    <w:rFonts w:ascii="Cambria Math" w:hAnsi="Cambria Math"/>
                    <w:noProof/>
                    <w:color w:val="000000" w:themeColor="text1"/>
                    <w:sz w:val="28"/>
                    <w:szCs w:val="28"/>
                    <w:lang w:val="vi-VN"/>
                  </w:rPr>
                  <m:t>T</m:t>
                </m:r>
              </m:e>
              <m:sub>
                <m:r>
                  <m:rPr>
                    <m:sty m:val="p"/>
                  </m:rPr>
                  <w:rPr>
                    <w:rFonts w:ascii="Cambria Math" w:hAnsi="Cambria Math"/>
                    <w:noProof/>
                    <w:color w:val="000000" w:themeColor="text1"/>
                    <w:sz w:val="28"/>
                    <w:szCs w:val="28"/>
                    <w:lang w:val="vi-VN"/>
                  </w:rPr>
                  <m:t>đ</m:t>
                </m:r>
              </m:sub>
            </m:sSub>
            <m:r>
              <m:rPr>
                <m:sty m:val="p"/>
              </m:rPr>
              <w:rPr>
                <w:rFonts w:ascii="Cambria Math" w:hAnsi="Cambria Math"/>
                <w:noProof/>
                <w:color w:val="000000" w:themeColor="text1"/>
                <w:sz w:val="28"/>
                <w:szCs w:val="28"/>
                <w:lang w:val="vi-VN"/>
              </w:rPr>
              <m:t>×r×(1+r</m:t>
            </m:r>
            <m:sSup>
              <m:sSupPr>
                <m:ctrlPr>
                  <w:rPr>
                    <w:rFonts w:ascii="Cambria Math" w:hAnsi="Cambria Math"/>
                    <w:noProof/>
                    <w:color w:val="000000" w:themeColor="text1"/>
                    <w:sz w:val="28"/>
                    <w:szCs w:val="28"/>
                  </w:rPr>
                </m:ctrlPr>
              </m:sSupPr>
              <m:e>
                <m:r>
                  <m:rPr>
                    <m:sty m:val="p"/>
                  </m:rPr>
                  <w:rPr>
                    <w:rFonts w:ascii="Cambria Math" w:hAnsi="Cambria Math"/>
                    <w:noProof/>
                    <w:color w:val="000000" w:themeColor="text1"/>
                    <w:sz w:val="28"/>
                    <w:szCs w:val="28"/>
                    <w:lang w:val="vi-VN"/>
                  </w:rPr>
                  <m:t>)</m:t>
                </m:r>
              </m:e>
              <m:sup>
                <m:r>
                  <m:rPr>
                    <m:sty m:val="p"/>
                  </m:rPr>
                  <w:rPr>
                    <w:rFonts w:ascii="Cambria Math" w:hAnsi="Cambria Math"/>
                    <w:noProof/>
                    <w:color w:val="000000" w:themeColor="text1"/>
                    <w:sz w:val="28"/>
                    <w:szCs w:val="28"/>
                    <w:lang w:val="vi-VN"/>
                  </w:rPr>
                  <m:t>n</m:t>
                </m:r>
              </m:sup>
            </m:sSup>
          </m:num>
          <m:den>
            <m:r>
              <m:rPr>
                <m:sty m:val="p"/>
              </m:rPr>
              <w:rPr>
                <w:rFonts w:ascii="Cambria Math" w:hAnsi="Cambria Math"/>
                <w:noProof/>
                <w:color w:val="000000" w:themeColor="text1"/>
                <w:sz w:val="28"/>
                <w:szCs w:val="28"/>
                <w:lang w:val="vi-VN"/>
              </w:rPr>
              <m:t>(1+r</m:t>
            </m:r>
            <m:sSup>
              <m:sSupPr>
                <m:ctrlPr>
                  <w:rPr>
                    <w:rFonts w:ascii="Cambria Math" w:hAnsi="Cambria Math"/>
                    <w:noProof/>
                    <w:color w:val="000000" w:themeColor="text1"/>
                    <w:sz w:val="28"/>
                    <w:szCs w:val="28"/>
                  </w:rPr>
                </m:ctrlPr>
              </m:sSupPr>
              <m:e>
                <m:r>
                  <m:rPr>
                    <m:sty m:val="p"/>
                  </m:rPr>
                  <w:rPr>
                    <w:rFonts w:ascii="Cambria Math" w:hAnsi="Cambria Math"/>
                    <w:noProof/>
                    <w:color w:val="000000" w:themeColor="text1"/>
                    <w:sz w:val="28"/>
                    <w:szCs w:val="28"/>
                    <w:lang w:val="vi-VN"/>
                  </w:rPr>
                  <m:t>)</m:t>
                </m:r>
              </m:e>
              <m:sup>
                <m:r>
                  <m:rPr>
                    <m:sty m:val="p"/>
                  </m:rPr>
                  <w:rPr>
                    <w:rFonts w:ascii="Cambria Math" w:hAnsi="Cambria Math"/>
                    <w:noProof/>
                    <w:color w:val="000000" w:themeColor="text1"/>
                    <w:sz w:val="28"/>
                    <w:szCs w:val="28"/>
                    <w:lang w:val="vi-VN"/>
                  </w:rPr>
                  <m:t>n</m:t>
                </m:r>
              </m:sup>
            </m:sSup>
            <m:r>
              <m:rPr>
                <m:sty m:val="p"/>
              </m:rPr>
              <w:rPr>
                <w:rFonts w:ascii="Cambria Math" w:hAnsi="Cambria Math"/>
                <w:noProof/>
                <w:color w:val="000000" w:themeColor="text1"/>
                <w:sz w:val="28"/>
                <w:szCs w:val="28"/>
                <w:lang w:val="vi-VN"/>
              </w:rPr>
              <m:t>-1</m:t>
            </m:r>
          </m:den>
        </m:f>
      </m:oMath>
      <w:r w:rsidR="001F0B15" w:rsidRPr="00E93C5E">
        <w:rPr>
          <w:color w:val="000000" w:themeColor="text1"/>
          <w:sz w:val="28"/>
          <w:szCs w:val="28"/>
          <w:lang w:val="vi-VN"/>
        </w:rPr>
        <w:t xml:space="preserve"> </w:t>
      </w:r>
    </w:p>
    <w:p w:rsidR="001F0B15" w:rsidRDefault="001F0B15" w:rsidP="00DA6BF3">
      <w:pPr>
        <w:spacing w:before="120" w:after="120" w:line="288" w:lineRule="auto"/>
        <w:ind w:firstLine="720"/>
        <w:jc w:val="both"/>
        <w:rPr>
          <w:color w:val="000000" w:themeColor="text1"/>
          <w:sz w:val="28"/>
          <w:szCs w:val="28"/>
          <w:lang w:val="vi-VN"/>
        </w:rPr>
      </w:pPr>
      <w:r w:rsidRPr="00E93C5E">
        <w:rPr>
          <w:color w:val="000000" w:themeColor="text1"/>
          <w:sz w:val="28"/>
          <w:szCs w:val="28"/>
          <w:lang w:val="vi-VN"/>
        </w:rPr>
        <w:t xml:space="preserve">+ </w:t>
      </w:r>
      <w:r w:rsidRPr="00DA6BF3">
        <w:rPr>
          <w:color w:val="000000" w:themeColor="text1"/>
          <w:sz w:val="28"/>
          <w:szCs w:val="28"/>
          <w:lang w:val="vi-VN"/>
        </w:rPr>
        <w:t xml:space="preserve">Tđ (đồng): </w:t>
      </w:r>
      <w:r w:rsidRPr="00E93C5E">
        <w:rPr>
          <w:color w:val="000000" w:themeColor="text1"/>
          <w:sz w:val="28"/>
          <w:szCs w:val="28"/>
          <w:lang w:val="vi-VN"/>
        </w:rPr>
        <w:t>là tổng chi phí đầu tư xây dựng</w:t>
      </w:r>
      <w:r w:rsidR="00844A74" w:rsidRPr="001E2370">
        <w:rPr>
          <w:color w:val="000000" w:themeColor="text1"/>
          <w:sz w:val="28"/>
          <w:szCs w:val="28"/>
          <w:lang w:val="vi-VN"/>
        </w:rPr>
        <w:t xml:space="preserve"> và một số khoản chi phí hợp lí khác</w:t>
      </w:r>
      <w:r w:rsidRPr="00E93C5E">
        <w:rPr>
          <w:color w:val="000000" w:themeColor="text1"/>
          <w:sz w:val="28"/>
          <w:szCs w:val="28"/>
          <w:lang w:val="vi-VN"/>
        </w:rPr>
        <w:t xml:space="preserve"> phần diện tích nhà ở xã hội theo quy định tại khoản 2 Điều 22 của Nghị định </w:t>
      </w:r>
      <w:r w:rsidR="00071A73" w:rsidRPr="001E2370">
        <w:rPr>
          <w:color w:val="000000" w:themeColor="text1"/>
          <w:sz w:val="28"/>
          <w:szCs w:val="28"/>
          <w:lang w:val="vi-VN"/>
        </w:rPr>
        <w:t>số     /2024/NĐ-CP</w:t>
      </w:r>
      <w:r w:rsidRPr="00E93C5E">
        <w:rPr>
          <w:color w:val="000000" w:themeColor="text1"/>
          <w:sz w:val="28"/>
          <w:szCs w:val="28"/>
          <w:lang w:val="vi-VN"/>
        </w:rPr>
        <w:t>.</w:t>
      </w:r>
    </w:p>
    <w:p w:rsidR="001E2370" w:rsidRPr="001E2370" w:rsidRDefault="00844A74" w:rsidP="00DA6BF3">
      <w:pPr>
        <w:spacing w:before="120" w:after="120" w:line="288" w:lineRule="auto"/>
        <w:ind w:firstLine="720"/>
        <w:jc w:val="both"/>
        <w:rPr>
          <w:color w:val="000000" w:themeColor="text1"/>
          <w:sz w:val="28"/>
          <w:szCs w:val="28"/>
          <w:lang w:val="vi-VN"/>
        </w:rPr>
      </w:pPr>
      <w:r w:rsidRPr="001E2370">
        <w:rPr>
          <w:color w:val="000000" w:themeColor="text1"/>
          <w:sz w:val="28"/>
          <w:szCs w:val="28"/>
          <w:lang w:val="vi-VN"/>
        </w:rPr>
        <w:t>+Chi phí hợp lý khác bao gồm chi phí bán hàng, chi phí quảng cáo (nếu có) và các chi phí cần thiết khác để thực hiện dự án. Tổng các chi phí hợp lý khác không vượt quá 2% tổng chi phí đầu tư xây dựng phần nhà ở xã hội để cho thuê</w:t>
      </w:r>
    </w:p>
    <w:p w:rsidR="001F0B15" w:rsidRPr="00E93C5E" w:rsidRDefault="001F0B15" w:rsidP="00DA6BF3">
      <w:pPr>
        <w:spacing w:before="120" w:after="120" w:line="288" w:lineRule="auto"/>
        <w:ind w:firstLine="720"/>
        <w:jc w:val="both"/>
        <w:rPr>
          <w:color w:val="000000" w:themeColor="text1"/>
          <w:sz w:val="28"/>
          <w:szCs w:val="28"/>
          <w:lang w:val="vi-VN"/>
        </w:rPr>
      </w:pPr>
      <w:r w:rsidRPr="00E93C5E">
        <w:rPr>
          <w:color w:val="000000" w:themeColor="text1"/>
          <w:sz w:val="28"/>
          <w:szCs w:val="28"/>
          <w:lang w:val="vi-VN"/>
        </w:rPr>
        <w:t>+ r (%/năm): là lãi suất bảo toàn vốn đầu tư (tính theo năm) do người quyết định đầu tư quyết định.</w:t>
      </w:r>
    </w:p>
    <w:p w:rsidR="001F0B15" w:rsidRPr="00DA6BF3" w:rsidRDefault="001F0B15"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 n: là số năm thu hồi vốn đầu tư của dự án do người quyết định đầu tư quyết định nhưng tối thiểu 20 năm.</w:t>
      </w:r>
    </w:p>
    <w:p w:rsidR="001F0B15" w:rsidRPr="00E93C5E" w:rsidRDefault="001F0B15" w:rsidP="00DA6BF3">
      <w:pPr>
        <w:spacing w:before="120" w:after="120" w:line="288" w:lineRule="auto"/>
        <w:ind w:firstLine="720"/>
        <w:jc w:val="both"/>
        <w:rPr>
          <w:color w:val="000000" w:themeColor="text1"/>
          <w:sz w:val="28"/>
          <w:szCs w:val="28"/>
          <w:lang w:val="vi-VN"/>
        </w:rPr>
      </w:pPr>
      <w:r w:rsidRPr="00E93C5E">
        <w:rPr>
          <w:color w:val="000000" w:themeColor="text1"/>
          <w:sz w:val="28"/>
          <w:szCs w:val="28"/>
          <w:lang w:val="vi-VN"/>
        </w:rPr>
        <w:t>- B</w:t>
      </w:r>
      <w:r w:rsidRPr="00DA6BF3">
        <w:rPr>
          <w:color w:val="000000" w:themeColor="text1"/>
          <w:sz w:val="28"/>
          <w:szCs w:val="28"/>
          <w:lang w:val="vi-VN"/>
        </w:rPr>
        <w:t>t</w:t>
      </w:r>
      <w:r w:rsidRPr="00E93C5E">
        <w:rPr>
          <w:color w:val="000000" w:themeColor="text1"/>
          <w:sz w:val="28"/>
          <w:szCs w:val="28"/>
          <w:lang w:val="vi-VN"/>
        </w:rPr>
        <w:t xml:space="preserve">: </w:t>
      </w:r>
      <w:r w:rsidR="007875B1" w:rsidRPr="00DA6BF3">
        <w:rPr>
          <w:color w:val="000000" w:themeColor="text1"/>
          <w:sz w:val="28"/>
          <w:szCs w:val="28"/>
          <w:lang w:val="vi-VN"/>
        </w:rPr>
        <w:t>L</w:t>
      </w:r>
      <w:r w:rsidRPr="00E93C5E">
        <w:rPr>
          <w:color w:val="000000" w:themeColor="text1"/>
          <w:sz w:val="28"/>
          <w:szCs w:val="28"/>
          <w:lang w:val="vi-VN"/>
        </w:rPr>
        <w:t>à chi phí bảo trì bình quân hàng năm phân bổ trên 01m</w:t>
      </w:r>
      <w:r w:rsidRPr="00DA6BF3">
        <w:rPr>
          <w:color w:val="000000" w:themeColor="text1"/>
          <w:sz w:val="28"/>
          <w:szCs w:val="28"/>
          <w:lang w:val="vi-VN"/>
        </w:rPr>
        <w:t>2</w:t>
      </w:r>
      <w:r w:rsidRPr="00E93C5E">
        <w:rPr>
          <w:color w:val="000000" w:themeColor="text1"/>
          <w:sz w:val="28"/>
          <w:szCs w:val="28"/>
          <w:lang w:val="vi-VN"/>
        </w:rPr>
        <w:t xml:space="preserve"> sử dụng nhà ở </w:t>
      </w:r>
      <w:r w:rsidRPr="00DA6BF3">
        <w:rPr>
          <w:color w:val="000000" w:themeColor="text1"/>
          <w:sz w:val="28"/>
          <w:szCs w:val="28"/>
          <w:lang w:val="vi-VN"/>
        </w:rPr>
        <w:t>theo quy định của pháp luật về quản lý chất lượng, thi công xây dựng và bảo trì công trình xây dựng</w:t>
      </w:r>
      <w:r w:rsidRPr="00E93C5E">
        <w:rPr>
          <w:color w:val="000000" w:themeColor="text1"/>
          <w:sz w:val="28"/>
          <w:szCs w:val="28"/>
          <w:lang w:val="vi-VN"/>
        </w:rPr>
        <w:t xml:space="preserve">. </w:t>
      </w:r>
    </w:p>
    <w:p w:rsidR="001F0B15" w:rsidRPr="00E93C5E" w:rsidRDefault="007875B1" w:rsidP="00DA6BF3">
      <w:pPr>
        <w:spacing w:before="120" w:after="120" w:line="288" w:lineRule="auto"/>
        <w:ind w:firstLine="720"/>
        <w:jc w:val="both"/>
        <w:rPr>
          <w:color w:val="000000" w:themeColor="text1"/>
          <w:sz w:val="28"/>
          <w:szCs w:val="28"/>
          <w:lang w:val="vi-VN"/>
        </w:rPr>
      </w:pPr>
      <w:r>
        <w:rPr>
          <w:color w:val="000000" w:themeColor="text1"/>
          <w:sz w:val="28"/>
          <w:szCs w:val="28"/>
          <w:lang w:val="vi-VN"/>
        </w:rPr>
        <w:t xml:space="preserve">- K: </w:t>
      </w:r>
      <w:r w:rsidRPr="00DA6BF3">
        <w:rPr>
          <w:color w:val="000000" w:themeColor="text1"/>
          <w:sz w:val="28"/>
          <w:szCs w:val="28"/>
          <w:lang w:val="vi-VN"/>
        </w:rPr>
        <w:t>L</w:t>
      </w:r>
      <w:r w:rsidR="001F0B15" w:rsidRPr="00E93C5E">
        <w:rPr>
          <w:color w:val="000000" w:themeColor="text1"/>
          <w:sz w:val="28"/>
          <w:szCs w:val="28"/>
          <w:lang w:val="vi-VN"/>
        </w:rPr>
        <w:t xml:space="preserve">à hệ số tầng Điều chỉnh giá thuê đối với căn hộ được xác định theo nguyên tắc bình quân gia quyền và bảo đảm </w:t>
      </w:r>
      <w:r w:rsidR="001F0B15" w:rsidRPr="00DA6BF3">
        <w:rPr>
          <w:color w:val="000000" w:themeColor="text1"/>
          <w:sz w:val="28"/>
          <w:szCs w:val="28"/>
          <w:lang w:val="vi-VN"/>
        </w:rPr>
        <w:t>bình quân gia quyền theo diện tích nhà ở</w:t>
      </w:r>
      <w:r w:rsidR="001F0B15" w:rsidRPr="00E93C5E">
        <w:rPr>
          <w:color w:val="000000" w:themeColor="text1"/>
          <w:sz w:val="28"/>
          <w:szCs w:val="28"/>
          <w:lang w:val="vi-VN"/>
        </w:rPr>
        <w:t xml:space="preserve"> các tầng của một khối nhà bằng 1.</w:t>
      </w:r>
    </w:p>
    <w:p w:rsidR="001F0B15" w:rsidRPr="00E93C5E" w:rsidRDefault="001F0B15" w:rsidP="00DA6BF3">
      <w:pPr>
        <w:spacing w:before="120" w:after="120" w:line="288" w:lineRule="auto"/>
        <w:ind w:firstLine="720"/>
        <w:jc w:val="both"/>
        <w:rPr>
          <w:color w:val="000000" w:themeColor="text1"/>
          <w:sz w:val="28"/>
          <w:szCs w:val="28"/>
          <w:lang w:val="vi-VN"/>
        </w:rPr>
      </w:pPr>
      <w:r w:rsidRPr="00E93C5E">
        <w:rPr>
          <w:color w:val="000000" w:themeColor="text1"/>
          <w:sz w:val="28"/>
          <w:szCs w:val="28"/>
          <w:lang w:val="vi-VN"/>
        </w:rPr>
        <w:t>- GTGT: thuế giá trị gia tăng xác định theo quy định của pháp luật về thuế.</w:t>
      </w:r>
    </w:p>
    <w:p w:rsidR="001F0B15" w:rsidRPr="00E93C5E" w:rsidRDefault="001F0B15" w:rsidP="00DA6BF3">
      <w:pPr>
        <w:spacing w:before="120" w:after="120" w:line="288" w:lineRule="auto"/>
        <w:ind w:firstLine="720"/>
        <w:jc w:val="both"/>
        <w:rPr>
          <w:color w:val="000000" w:themeColor="text1"/>
          <w:sz w:val="28"/>
          <w:szCs w:val="28"/>
          <w:lang w:val="vi-VN"/>
        </w:rPr>
      </w:pPr>
      <w:r w:rsidRPr="00E93C5E">
        <w:rPr>
          <w:color w:val="000000" w:themeColor="text1"/>
          <w:sz w:val="28"/>
          <w:szCs w:val="28"/>
          <w:lang w:val="vi-VN"/>
        </w:rPr>
        <w:t>- Số 12: Là số tháng tính trong 01 năm.</w:t>
      </w:r>
    </w:p>
    <w:p w:rsidR="007369CE" w:rsidRPr="00314C94" w:rsidRDefault="007369CE" w:rsidP="00DA6BF3">
      <w:pPr>
        <w:spacing w:before="120" w:after="120" w:line="288" w:lineRule="auto"/>
        <w:ind w:firstLine="720"/>
        <w:jc w:val="both"/>
        <w:rPr>
          <w:color w:val="000000" w:themeColor="text1"/>
          <w:sz w:val="28"/>
          <w:szCs w:val="28"/>
        </w:rPr>
      </w:pPr>
      <w:r w:rsidRPr="00DA6BF3">
        <w:rPr>
          <w:color w:val="000000" w:themeColor="text1"/>
          <w:sz w:val="28"/>
          <w:szCs w:val="28"/>
          <w:lang w:val="vi-VN"/>
        </w:rPr>
        <w:t>- L: Lợi nhuận định mức của nhà đầu tư phân bổ t</w:t>
      </w:r>
      <w:r w:rsidR="00314C94">
        <w:rPr>
          <w:color w:val="000000" w:themeColor="text1"/>
          <w:sz w:val="28"/>
          <w:szCs w:val="28"/>
          <w:lang w:val="vi-VN"/>
        </w:rPr>
        <w:t>heo giá thuê nhà tính trên 1m2</w:t>
      </w:r>
      <w:r w:rsidR="00314C94">
        <w:rPr>
          <w:color w:val="000000" w:themeColor="text1"/>
          <w:sz w:val="28"/>
          <w:szCs w:val="28"/>
        </w:rPr>
        <w:t>.</w:t>
      </w:r>
    </w:p>
    <w:p w:rsidR="0011531E" w:rsidRPr="00DA6BF3" w:rsidRDefault="0072002C" w:rsidP="00DA6BF3">
      <w:pPr>
        <w:spacing w:before="120" w:after="120" w:line="288" w:lineRule="auto"/>
        <w:ind w:firstLine="720"/>
        <w:jc w:val="both"/>
        <w:rPr>
          <w:color w:val="000000" w:themeColor="text1"/>
          <w:sz w:val="28"/>
          <w:szCs w:val="28"/>
          <w:lang w:val="vi-VN"/>
        </w:rPr>
      </w:pPr>
      <w:r w:rsidRPr="00DA6BF3">
        <w:rPr>
          <w:color w:val="000000" w:themeColor="text1"/>
          <w:sz w:val="28"/>
          <w:szCs w:val="28"/>
          <w:lang w:val="vi-VN"/>
        </w:rPr>
        <w:t xml:space="preserve">* </w:t>
      </w:r>
      <w:r w:rsidR="0011531E" w:rsidRPr="00DA6BF3">
        <w:rPr>
          <w:color w:val="000000" w:themeColor="text1"/>
          <w:sz w:val="28"/>
          <w:szCs w:val="28"/>
          <w:lang w:val="vi-VN"/>
        </w:rPr>
        <w:t>Áp dung theo Suất vốn đầu tư xây dựng công trình để xác định từng loại chi phí như sau:</w:t>
      </w:r>
    </w:p>
    <w:p w:rsidR="0011531E" w:rsidRPr="0072002C" w:rsidRDefault="00040418" w:rsidP="0011531E">
      <w:pPr>
        <w:spacing w:before="120" w:after="120"/>
        <w:jc w:val="center"/>
        <w:rPr>
          <w:color w:val="000000" w:themeColor="text1"/>
          <w:sz w:val="32"/>
          <w:szCs w:val="32"/>
          <w:lang w:val="vi-VN"/>
        </w:rPr>
      </w:pPr>
      <m:oMath>
        <m:sSub>
          <m:sSubPr>
            <m:ctrlPr>
              <w:rPr>
                <w:rFonts w:ascii="Cambria Math" w:hAnsi="Cambria Math"/>
                <w:noProof/>
                <w:color w:val="000000" w:themeColor="text1"/>
                <w:sz w:val="32"/>
                <w:szCs w:val="32"/>
              </w:rPr>
            </m:ctrlPr>
          </m:sSubPr>
          <m:e>
            <m:r>
              <m:rPr>
                <m:sty m:val="p"/>
              </m:rPr>
              <w:rPr>
                <w:rFonts w:ascii="Cambria Math" w:hAnsi="Cambria Math"/>
                <w:noProof/>
                <w:color w:val="000000" w:themeColor="text1"/>
                <w:sz w:val="32"/>
                <w:szCs w:val="32"/>
                <w:lang w:val="vi-VN"/>
              </w:rPr>
              <m:t>V</m:t>
            </m:r>
          </m:e>
          <m:sub>
            <m:r>
              <m:rPr>
                <m:sty m:val="p"/>
              </m:rPr>
              <w:rPr>
                <w:rFonts w:ascii="Cambria Math" w:hAnsi="Cambria Math"/>
                <w:noProof/>
                <w:color w:val="000000" w:themeColor="text1"/>
                <w:sz w:val="32"/>
                <w:szCs w:val="32"/>
                <w:lang w:val="vi-VN"/>
              </w:rPr>
              <m:t>đ</m:t>
            </m:r>
          </m:sub>
        </m:sSub>
        <m:r>
          <m:rPr>
            <m:sty m:val="p"/>
          </m:rPr>
          <w:rPr>
            <w:rFonts w:ascii="Cambria Math" w:hAnsi="Cambria Math"/>
            <w:noProof/>
            <w:color w:val="000000" w:themeColor="text1"/>
            <w:sz w:val="32"/>
            <w:szCs w:val="32"/>
            <w:lang w:val="vi-VN"/>
          </w:rPr>
          <m:t>=</m:t>
        </m:r>
        <m:f>
          <m:fPr>
            <m:ctrlPr>
              <w:rPr>
                <w:rFonts w:ascii="Cambria Math" w:hAnsi="Cambria Math"/>
                <w:noProof/>
                <w:color w:val="000000" w:themeColor="text1"/>
                <w:sz w:val="32"/>
                <w:szCs w:val="32"/>
              </w:rPr>
            </m:ctrlPr>
          </m:fPr>
          <m:num>
            <m:sSub>
              <m:sSubPr>
                <m:ctrlPr>
                  <w:rPr>
                    <w:rFonts w:ascii="Cambria Math" w:hAnsi="Cambria Math"/>
                    <w:noProof/>
                    <w:color w:val="000000" w:themeColor="text1"/>
                    <w:sz w:val="32"/>
                    <w:szCs w:val="32"/>
                  </w:rPr>
                </m:ctrlPr>
              </m:sSubPr>
              <m:e>
                <m:r>
                  <m:rPr>
                    <m:sty m:val="p"/>
                  </m:rPr>
                  <w:rPr>
                    <w:rFonts w:ascii="Cambria Math" w:hAnsi="Cambria Math"/>
                    <w:noProof/>
                    <w:color w:val="000000" w:themeColor="text1"/>
                    <w:sz w:val="32"/>
                    <w:szCs w:val="32"/>
                    <w:lang w:val="vi-VN"/>
                  </w:rPr>
                  <m:t>T</m:t>
                </m:r>
              </m:e>
              <m:sub>
                <m:r>
                  <m:rPr>
                    <m:sty m:val="p"/>
                  </m:rPr>
                  <w:rPr>
                    <w:rFonts w:ascii="Cambria Math" w:hAnsi="Cambria Math"/>
                    <w:noProof/>
                    <w:color w:val="000000" w:themeColor="text1"/>
                    <w:sz w:val="32"/>
                    <w:szCs w:val="32"/>
                    <w:lang w:val="vi-VN"/>
                  </w:rPr>
                  <m:t>đ</m:t>
                </m:r>
              </m:sub>
            </m:sSub>
            <m:r>
              <m:rPr>
                <m:sty m:val="p"/>
              </m:rPr>
              <w:rPr>
                <w:rFonts w:ascii="Cambria Math" w:hAnsi="Cambria Math"/>
                <w:noProof/>
                <w:color w:val="000000" w:themeColor="text1"/>
                <w:sz w:val="32"/>
                <w:szCs w:val="32"/>
                <w:lang w:val="vi-VN"/>
              </w:rPr>
              <m:t>×r×(1+r</m:t>
            </m:r>
            <m:sSup>
              <m:sSupPr>
                <m:ctrlPr>
                  <w:rPr>
                    <w:rFonts w:ascii="Cambria Math" w:hAnsi="Cambria Math"/>
                    <w:noProof/>
                    <w:color w:val="000000" w:themeColor="text1"/>
                    <w:sz w:val="32"/>
                    <w:szCs w:val="32"/>
                  </w:rPr>
                </m:ctrlPr>
              </m:sSupPr>
              <m:e>
                <m:r>
                  <m:rPr>
                    <m:sty m:val="p"/>
                  </m:rPr>
                  <w:rPr>
                    <w:rFonts w:ascii="Cambria Math" w:hAnsi="Cambria Math"/>
                    <w:noProof/>
                    <w:color w:val="000000" w:themeColor="text1"/>
                    <w:sz w:val="32"/>
                    <w:szCs w:val="32"/>
                    <w:lang w:val="vi-VN"/>
                  </w:rPr>
                  <m:t>)</m:t>
                </m:r>
              </m:e>
              <m:sup>
                <m:r>
                  <m:rPr>
                    <m:sty m:val="p"/>
                  </m:rPr>
                  <w:rPr>
                    <w:rFonts w:ascii="Cambria Math" w:hAnsi="Cambria Math"/>
                    <w:noProof/>
                    <w:color w:val="000000" w:themeColor="text1"/>
                    <w:sz w:val="32"/>
                    <w:szCs w:val="32"/>
                    <w:lang w:val="vi-VN"/>
                  </w:rPr>
                  <m:t>n</m:t>
                </m:r>
              </m:sup>
            </m:sSup>
          </m:num>
          <m:den>
            <m:r>
              <m:rPr>
                <m:sty m:val="p"/>
              </m:rPr>
              <w:rPr>
                <w:rFonts w:ascii="Cambria Math" w:hAnsi="Cambria Math"/>
                <w:noProof/>
                <w:color w:val="000000" w:themeColor="text1"/>
                <w:sz w:val="32"/>
                <w:szCs w:val="32"/>
                <w:lang w:val="vi-VN"/>
              </w:rPr>
              <m:t>(1+r</m:t>
            </m:r>
            <m:sSup>
              <m:sSupPr>
                <m:ctrlPr>
                  <w:rPr>
                    <w:rFonts w:ascii="Cambria Math" w:hAnsi="Cambria Math"/>
                    <w:noProof/>
                    <w:color w:val="000000" w:themeColor="text1"/>
                    <w:sz w:val="32"/>
                    <w:szCs w:val="32"/>
                  </w:rPr>
                </m:ctrlPr>
              </m:sSupPr>
              <m:e>
                <m:r>
                  <m:rPr>
                    <m:sty m:val="p"/>
                  </m:rPr>
                  <w:rPr>
                    <w:rFonts w:ascii="Cambria Math" w:hAnsi="Cambria Math"/>
                    <w:noProof/>
                    <w:color w:val="000000" w:themeColor="text1"/>
                    <w:sz w:val="32"/>
                    <w:szCs w:val="32"/>
                    <w:lang w:val="vi-VN"/>
                  </w:rPr>
                  <m:t>)</m:t>
                </m:r>
              </m:e>
              <m:sup>
                <m:r>
                  <m:rPr>
                    <m:sty m:val="p"/>
                  </m:rPr>
                  <w:rPr>
                    <w:rFonts w:ascii="Cambria Math" w:hAnsi="Cambria Math"/>
                    <w:noProof/>
                    <w:color w:val="000000" w:themeColor="text1"/>
                    <w:sz w:val="32"/>
                    <w:szCs w:val="32"/>
                    <w:lang w:val="vi-VN"/>
                  </w:rPr>
                  <m:t>n</m:t>
                </m:r>
              </m:sup>
            </m:sSup>
            <m:r>
              <m:rPr>
                <m:sty m:val="p"/>
              </m:rPr>
              <w:rPr>
                <w:rFonts w:ascii="Cambria Math" w:hAnsi="Cambria Math"/>
                <w:noProof/>
                <w:color w:val="000000" w:themeColor="text1"/>
                <w:sz w:val="32"/>
                <w:szCs w:val="32"/>
                <w:lang w:val="vi-VN"/>
              </w:rPr>
              <m:t>-1</m:t>
            </m:r>
          </m:den>
        </m:f>
      </m:oMath>
      <w:r w:rsidR="0011531E" w:rsidRPr="0072002C">
        <w:rPr>
          <w:color w:val="000000" w:themeColor="text1"/>
          <w:sz w:val="32"/>
          <w:szCs w:val="32"/>
          <w:lang w:val="vi-VN"/>
        </w:rPr>
        <w:t xml:space="preserve"> </w:t>
      </w:r>
    </w:p>
    <w:p w:rsidR="0011531E" w:rsidRPr="00E93C5E" w:rsidRDefault="0072002C" w:rsidP="00DA6BF3">
      <w:pPr>
        <w:spacing w:before="120" w:after="120" w:line="288" w:lineRule="auto"/>
        <w:ind w:firstLine="720"/>
        <w:jc w:val="both"/>
        <w:rPr>
          <w:color w:val="000000" w:themeColor="text1"/>
          <w:spacing w:val="2"/>
          <w:sz w:val="28"/>
          <w:szCs w:val="28"/>
          <w:lang w:val="vi-VN"/>
        </w:rPr>
      </w:pPr>
      <w:r>
        <w:rPr>
          <w:color w:val="000000" w:themeColor="text1"/>
          <w:spacing w:val="2"/>
          <w:sz w:val="28"/>
          <w:szCs w:val="28"/>
          <w:lang w:val="vi-VN"/>
        </w:rPr>
        <w:t xml:space="preserve">n: </w:t>
      </w:r>
      <w:r>
        <w:rPr>
          <w:color w:val="000000" w:themeColor="text1"/>
          <w:spacing w:val="2"/>
          <w:sz w:val="28"/>
          <w:szCs w:val="28"/>
        </w:rPr>
        <w:t>L</w:t>
      </w:r>
      <w:r w:rsidR="0011531E" w:rsidRPr="00E93C5E">
        <w:rPr>
          <w:color w:val="000000" w:themeColor="text1"/>
          <w:spacing w:val="2"/>
          <w:sz w:val="28"/>
          <w:szCs w:val="28"/>
          <w:lang w:val="vi-VN"/>
        </w:rPr>
        <w:t>à số năm thu hồi vốn đầu tư của dự án</w:t>
      </w:r>
      <w:r w:rsidR="0011531E" w:rsidRPr="00E93C5E">
        <w:rPr>
          <w:color w:val="000000" w:themeColor="text1"/>
          <w:spacing w:val="2"/>
          <w:sz w:val="28"/>
          <w:szCs w:val="28"/>
        </w:rPr>
        <w:t xml:space="preserve">, xác định ở mức </w:t>
      </w:r>
      <w:r w:rsidR="0011531E" w:rsidRPr="00E93C5E">
        <w:rPr>
          <w:color w:val="000000" w:themeColor="text1"/>
          <w:spacing w:val="2"/>
          <w:sz w:val="28"/>
          <w:szCs w:val="28"/>
          <w:lang w:val="vi-VN"/>
        </w:rPr>
        <w:t>20 năm.</w:t>
      </w:r>
    </w:p>
    <w:p w:rsidR="0011531E" w:rsidRPr="001E2370" w:rsidRDefault="0072002C" w:rsidP="00D542FB">
      <w:pPr>
        <w:spacing w:before="120" w:after="120" w:line="288" w:lineRule="auto"/>
        <w:ind w:firstLine="720"/>
        <w:jc w:val="both"/>
        <w:rPr>
          <w:color w:val="000000" w:themeColor="text1"/>
          <w:sz w:val="28"/>
          <w:szCs w:val="28"/>
        </w:rPr>
      </w:pPr>
      <w:r>
        <w:rPr>
          <w:color w:val="000000" w:themeColor="text1"/>
          <w:sz w:val="28"/>
          <w:szCs w:val="28"/>
          <w:lang w:val="vi-VN"/>
        </w:rPr>
        <w:t xml:space="preserve">r (%/năm): </w:t>
      </w:r>
      <w:r w:rsidRPr="001E2370">
        <w:rPr>
          <w:color w:val="000000" w:themeColor="text1"/>
          <w:sz w:val="28"/>
          <w:szCs w:val="28"/>
          <w:lang w:val="vi-VN"/>
        </w:rPr>
        <w:t>L</w:t>
      </w:r>
      <w:r w:rsidR="0011531E" w:rsidRPr="00E93C5E">
        <w:rPr>
          <w:color w:val="000000" w:themeColor="text1"/>
          <w:sz w:val="28"/>
          <w:szCs w:val="28"/>
          <w:lang w:val="vi-VN"/>
        </w:rPr>
        <w:t>à lãi suất bảo toàn vốn đầu tư (tính theo năm)</w:t>
      </w:r>
      <w:r w:rsidR="0011531E" w:rsidRPr="001E2370">
        <w:rPr>
          <w:color w:val="000000" w:themeColor="text1"/>
          <w:sz w:val="28"/>
          <w:szCs w:val="28"/>
          <w:lang w:val="vi-VN"/>
        </w:rPr>
        <w:t xml:space="preserve">, xác định </w:t>
      </w:r>
      <w:r w:rsidR="00B51CAF" w:rsidRPr="001E2370">
        <w:rPr>
          <w:color w:val="000000" w:themeColor="text1"/>
          <w:sz w:val="28"/>
          <w:szCs w:val="28"/>
          <w:lang w:val="vi-VN"/>
        </w:rPr>
        <w:t>8,7</w:t>
      </w:r>
      <w:r w:rsidR="0011531E" w:rsidRPr="001E2370">
        <w:rPr>
          <w:color w:val="000000" w:themeColor="text1"/>
          <w:sz w:val="28"/>
          <w:szCs w:val="28"/>
          <w:lang w:val="vi-VN"/>
        </w:rPr>
        <w:t>%</w:t>
      </w:r>
      <w:r w:rsidR="005D6B78" w:rsidRPr="001E2370">
        <w:rPr>
          <w:color w:val="000000" w:themeColor="text1"/>
          <w:sz w:val="28"/>
          <w:szCs w:val="28"/>
          <w:lang w:val="vi-VN"/>
        </w:rPr>
        <w:t>/</w:t>
      </w:r>
      <w:r w:rsidR="001E2370">
        <w:rPr>
          <w:color w:val="000000" w:themeColor="text1"/>
          <w:sz w:val="28"/>
          <w:szCs w:val="28"/>
          <w:lang w:val="vi-VN"/>
        </w:rPr>
        <w:t>1 năm</w:t>
      </w:r>
      <w:r w:rsidR="001E2370">
        <w:rPr>
          <w:color w:val="000000" w:themeColor="text1"/>
          <w:sz w:val="28"/>
          <w:szCs w:val="28"/>
        </w:rPr>
        <w:t xml:space="preserve"> (</w:t>
      </w:r>
      <w:r w:rsidR="00285413">
        <w:rPr>
          <w:color w:val="000000" w:themeColor="text1"/>
          <w:sz w:val="28"/>
          <w:szCs w:val="28"/>
        </w:rPr>
        <w:t xml:space="preserve">áp dụng mức lãi suất cho vay tại công văn </w:t>
      </w:r>
      <w:r w:rsidR="00D542FB">
        <w:rPr>
          <w:color w:val="000000" w:themeColor="text1"/>
          <w:sz w:val="28"/>
          <w:szCs w:val="28"/>
        </w:rPr>
        <w:t>số</w:t>
      </w:r>
      <w:r w:rsidR="00285413">
        <w:rPr>
          <w:color w:val="000000" w:themeColor="text1"/>
          <w:sz w:val="28"/>
          <w:szCs w:val="28"/>
        </w:rPr>
        <w:t xml:space="preserve"> 2380/NHNN-TD ngà</w:t>
      </w:r>
      <w:r w:rsidR="00D542FB">
        <w:rPr>
          <w:color w:val="000000" w:themeColor="text1"/>
          <w:sz w:val="28"/>
          <w:szCs w:val="28"/>
        </w:rPr>
        <w:t>y</w:t>
      </w:r>
      <w:r w:rsidR="00285413">
        <w:rPr>
          <w:color w:val="000000" w:themeColor="text1"/>
          <w:sz w:val="28"/>
          <w:szCs w:val="28"/>
        </w:rPr>
        <w:t xml:space="preserve"> 01/4/2023 của ngân hàng nhà nước triển khai cho vay nàh ở xã hội, nhà ở công nhân, cải tạo xây dựng chung cư cũ theo Nghị quyết 33/NQ-CP)</w:t>
      </w:r>
    </w:p>
    <w:p w:rsidR="0011531E" w:rsidRPr="00E93C5E" w:rsidRDefault="0011531E" w:rsidP="00B51CAF">
      <w:pPr>
        <w:pStyle w:val="NormalWeb"/>
        <w:spacing w:before="120" w:beforeAutospacing="0" w:after="120" w:afterAutospacing="0" w:line="288" w:lineRule="auto"/>
        <w:ind w:firstLine="720"/>
        <w:jc w:val="both"/>
        <w:rPr>
          <w:color w:val="000000" w:themeColor="text1"/>
          <w:sz w:val="28"/>
          <w:szCs w:val="28"/>
        </w:rPr>
      </w:pPr>
      <w:r w:rsidRPr="00E93C5E">
        <w:rPr>
          <w:rFonts w:eastAsia="Calibri"/>
          <w:color w:val="000000" w:themeColor="text1"/>
          <w:sz w:val="28"/>
          <w:szCs w:val="28"/>
          <w:lang w:val="vi-VN"/>
        </w:rPr>
        <w:t>T</w:t>
      </w:r>
      <w:r w:rsidRPr="00E93C5E">
        <w:rPr>
          <w:rFonts w:eastAsia="Calibri"/>
          <w:color w:val="000000" w:themeColor="text1"/>
          <w:sz w:val="28"/>
          <w:szCs w:val="28"/>
          <w:vertAlign w:val="subscript"/>
          <w:lang w:val="vi-VN"/>
        </w:rPr>
        <w:t>đ</w:t>
      </w:r>
      <w:r w:rsidRPr="00E93C5E">
        <w:rPr>
          <w:rFonts w:eastAsia="Calibri"/>
          <w:color w:val="000000" w:themeColor="text1"/>
          <w:sz w:val="28"/>
          <w:szCs w:val="28"/>
          <w:lang w:val="vi-VN"/>
        </w:rPr>
        <w:t xml:space="preserve"> (đồng): </w:t>
      </w:r>
      <w:r w:rsidR="007875B1">
        <w:rPr>
          <w:rFonts w:eastAsia="Calibri"/>
          <w:color w:val="000000" w:themeColor="text1"/>
          <w:sz w:val="28"/>
          <w:szCs w:val="28"/>
        </w:rPr>
        <w:t>L</w:t>
      </w:r>
      <w:r w:rsidRPr="00E93C5E">
        <w:rPr>
          <w:color w:val="000000" w:themeColor="text1"/>
          <w:sz w:val="28"/>
          <w:szCs w:val="28"/>
          <w:lang w:val="vi-VN"/>
        </w:rPr>
        <w:t xml:space="preserve">à tổng chi phí đầu tư xây dựng phần diện tích nhà ở xã hội </w:t>
      </w:r>
      <w:r w:rsidRPr="00E93C5E">
        <w:rPr>
          <w:color w:val="000000" w:themeColor="text1"/>
          <w:sz w:val="28"/>
          <w:szCs w:val="28"/>
        </w:rPr>
        <w:t>được xác định theo Suất vốn đầu tư xây dựng công trình ban hành kèm theo Quyết định số 510/QĐ-BXD</w:t>
      </w:r>
      <w:r w:rsidR="007875B1">
        <w:rPr>
          <w:color w:val="000000" w:themeColor="text1"/>
          <w:sz w:val="28"/>
          <w:szCs w:val="28"/>
        </w:rPr>
        <w:t xml:space="preserve"> ngày 19/5/2023 của Bộ Xây dựng.</w:t>
      </w:r>
    </w:p>
    <w:p w:rsidR="0011531E" w:rsidRPr="00E93C5E" w:rsidRDefault="0011531E" w:rsidP="00DA6BF3">
      <w:pPr>
        <w:pStyle w:val="NormalWeb"/>
        <w:spacing w:before="120" w:beforeAutospacing="0" w:after="120" w:afterAutospacing="0" w:line="288" w:lineRule="auto"/>
        <w:ind w:firstLine="720"/>
        <w:jc w:val="both"/>
        <w:rPr>
          <w:rFonts w:eastAsia="Calibri"/>
          <w:color w:val="000000" w:themeColor="text1"/>
          <w:sz w:val="28"/>
          <w:szCs w:val="28"/>
        </w:rPr>
      </w:pPr>
      <w:r w:rsidRPr="001E2370">
        <w:rPr>
          <w:rFonts w:eastAsia="Calibri"/>
          <w:color w:val="000000" w:themeColor="text1"/>
          <w:sz w:val="28"/>
          <w:szCs w:val="28"/>
        </w:rPr>
        <w:t>Tđ (đồng)</w:t>
      </w:r>
      <w:r w:rsidRPr="00E93C5E">
        <w:rPr>
          <w:rFonts w:eastAsia="Calibri"/>
          <w:color w:val="000000" w:themeColor="text1"/>
          <w:sz w:val="28"/>
          <w:szCs w:val="28"/>
        </w:rPr>
        <w:t xml:space="preserve"> = Suất vốn x S</w:t>
      </w:r>
      <w:r w:rsidR="007875B1">
        <w:rPr>
          <w:rFonts w:eastAsia="Calibri"/>
          <w:color w:val="000000" w:themeColor="text1"/>
          <w:sz w:val="28"/>
          <w:szCs w:val="28"/>
        </w:rPr>
        <w:t xml:space="preserve"> x hệ số điều chỉ</w:t>
      </w:r>
      <w:r w:rsidR="005D6B78">
        <w:rPr>
          <w:rFonts w:eastAsia="Calibri"/>
          <w:color w:val="000000" w:themeColor="text1"/>
          <w:sz w:val="28"/>
          <w:szCs w:val="28"/>
        </w:rPr>
        <w:t>nh vùng</w:t>
      </w:r>
      <w:r w:rsidRPr="00E93C5E">
        <w:rPr>
          <w:rFonts w:eastAsia="Calibri"/>
          <w:color w:val="000000" w:themeColor="text1"/>
          <w:sz w:val="28"/>
          <w:szCs w:val="28"/>
        </w:rPr>
        <w:t xml:space="preserve"> (diện tích sàn xây dựng</w:t>
      </w:r>
      <w:r w:rsidRPr="00B51CAF">
        <w:rPr>
          <w:rFonts w:eastAsia="Calibri"/>
          <w:color w:val="000000" w:themeColor="text1"/>
          <w:sz w:val="28"/>
          <w:szCs w:val="28"/>
        </w:rPr>
        <w:t>)</w:t>
      </w:r>
      <w:r w:rsidR="001E2370">
        <w:rPr>
          <w:rFonts w:eastAsia="Calibri"/>
          <w:color w:val="000000" w:themeColor="text1"/>
          <w:sz w:val="28"/>
          <w:szCs w:val="28"/>
        </w:rPr>
        <w:t xml:space="preserve"> </w:t>
      </w:r>
      <w:r w:rsidR="00B51CAF" w:rsidRPr="001E2370">
        <w:rPr>
          <w:rFonts w:eastAsia="Calibri"/>
          <w:color w:val="000000" w:themeColor="text1"/>
          <w:sz w:val="28"/>
          <w:szCs w:val="28"/>
        </w:rPr>
        <w:t>+</w:t>
      </w:r>
      <w:r w:rsidR="001E2370" w:rsidRPr="001E2370">
        <w:rPr>
          <w:rFonts w:eastAsia="Calibri"/>
          <w:color w:val="000000" w:themeColor="text1"/>
          <w:sz w:val="28"/>
          <w:szCs w:val="28"/>
        </w:rPr>
        <w:t xml:space="preserve"> </w:t>
      </w:r>
      <w:r w:rsidR="00B51CAF" w:rsidRPr="001E2370">
        <w:rPr>
          <w:rFonts w:eastAsia="Calibri"/>
          <w:color w:val="000000" w:themeColor="text1"/>
          <w:sz w:val="28"/>
          <w:szCs w:val="28"/>
        </w:rPr>
        <w:t>chi phí khác( 2%)</w:t>
      </w:r>
    </w:p>
    <w:p w:rsidR="0011531E" w:rsidRPr="001E2370" w:rsidRDefault="0011531E" w:rsidP="00DA6BF3">
      <w:pPr>
        <w:pStyle w:val="NormalWeb"/>
        <w:spacing w:before="120" w:beforeAutospacing="0" w:after="120" w:afterAutospacing="0" w:line="288" w:lineRule="auto"/>
        <w:ind w:firstLine="720"/>
        <w:jc w:val="both"/>
        <w:rPr>
          <w:rFonts w:eastAsia="Calibri"/>
          <w:color w:val="000000" w:themeColor="text1"/>
          <w:sz w:val="28"/>
          <w:szCs w:val="28"/>
        </w:rPr>
      </w:pPr>
      <w:r w:rsidRPr="001E2370">
        <w:rPr>
          <w:rFonts w:eastAsia="Calibri"/>
          <w:color w:val="000000" w:themeColor="text1"/>
          <w:sz w:val="28"/>
          <w:szCs w:val="28"/>
        </w:rPr>
        <w:t xml:space="preserve">S (diện tích sàn xây dựng) </w:t>
      </w:r>
      <w:r w:rsidR="00DC0790" w:rsidRPr="001E2370">
        <w:rPr>
          <w:rFonts w:eastAsia="Calibri"/>
          <w:color w:val="000000" w:themeColor="text1"/>
          <w:sz w:val="28"/>
          <w:szCs w:val="28"/>
        </w:rPr>
        <w:t>= St</w:t>
      </w:r>
      <w:r w:rsidR="001E2370" w:rsidRPr="001E2370">
        <w:rPr>
          <w:rFonts w:eastAsia="Calibri"/>
          <w:color w:val="000000" w:themeColor="text1"/>
          <w:sz w:val="28"/>
          <w:szCs w:val="28"/>
        </w:rPr>
        <w:t xml:space="preserve"> </w:t>
      </w:r>
      <w:r w:rsidR="00DC0790" w:rsidRPr="001E2370">
        <w:rPr>
          <w:iCs/>
          <w:color w:val="000000" w:themeColor="text1"/>
          <w:sz w:val="28"/>
          <w:szCs w:val="28"/>
        </w:rPr>
        <w:t>(di</w:t>
      </w:r>
      <w:r w:rsidR="00B51CAF" w:rsidRPr="001E2370">
        <w:rPr>
          <w:iCs/>
          <w:color w:val="000000" w:themeColor="text1"/>
          <w:sz w:val="28"/>
          <w:szCs w:val="28"/>
        </w:rPr>
        <w:t>ện tích sử dụng xác định bằng 100</w:t>
      </w:r>
      <w:r w:rsidR="00DC0790" w:rsidRPr="001E2370">
        <w:rPr>
          <w:iCs/>
          <w:color w:val="000000" w:themeColor="text1"/>
          <w:sz w:val="28"/>
          <w:szCs w:val="28"/>
        </w:rPr>
        <w:t>% diện tích sàn xây dựng)</w:t>
      </w:r>
    </w:p>
    <w:p w:rsidR="007369CE" w:rsidRPr="00B51CAF" w:rsidRDefault="007369CE" w:rsidP="00B51CAF">
      <w:pPr>
        <w:spacing w:before="600" w:after="240" w:line="400" w:lineRule="exact"/>
        <w:ind w:firstLine="720"/>
        <w:rPr>
          <w:color w:val="000000" w:themeColor="text1"/>
          <w:sz w:val="36"/>
          <w:szCs w:val="36"/>
        </w:rPr>
      </w:pPr>
      <w:r w:rsidRPr="00E93C5E">
        <w:rPr>
          <w:color w:val="000000" w:themeColor="text1"/>
          <w:sz w:val="28"/>
          <w:szCs w:val="28"/>
        </w:rPr>
        <w:t xml:space="preserve">Ta có: </w:t>
      </w:r>
      <m:oMath>
        <m:sSub>
          <m:sSubPr>
            <m:ctrlPr>
              <w:rPr>
                <w:rFonts w:ascii="Cambria Math" w:hAnsi="Cambria Math"/>
                <w:noProof/>
                <w:color w:val="000000" w:themeColor="text1"/>
                <w:sz w:val="36"/>
                <w:szCs w:val="36"/>
              </w:rPr>
            </m:ctrlPr>
          </m:sSubPr>
          <m:e>
            <m:r>
              <m:rPr>
                <m:sty m:val="p"/>
              </m:rPr>
              <w:rPr>
                <w:rFonts w:ascii="Cambria Math" w:hAnsi="Cambria Math"/>
                <w:noProof/>
                <w:color w:val="000000" w:themeColor="text1"/>
                <w:sz w:val="36"/>
                <w:szCs w:val="36"/>
                <w:lang w:val="vi-VN"/>
              </w:rPr>
              <m:t>V</m:t>
            </m:r>
          </m:e>
          <m:sub>
            <m:r>
              <m:rPr>
                <m:sty m:val="p"/>
              </m:rPr>
              <w:rPr>
                <w:rFonts w:ascii="Cambria Math" w:hAnsi="Cambria Math"/>
                <w:noProof/>
                <w:color w:val="000000" w:themeColor="text1"/>
                <w:sz w:val="36"/>
                <w:szCs w:val="36"/>
                <w:lang w:val="vi-VN"/>
              </w:rPr>
              <m:t>đ</m:t>
            </m:r>
          </m:sub>
        </m:sSub>
        <m:r>
          <m:rPr>
            <m:sty m:val="p"/>
          </m:rPr>
          <w:rPr>
            <w:rFonts w:ascii="Cambria Math" w:hAnsi="Cambria Math"/>
            <w:noProof/>
            <w:color w:val="000000" w:themeColor="text1"/>
            <w:sz w:val="36"/>
            <w:szCs w:val="36"/>
            <w:lang w:val="vi-VN"/>
          </w:rPr>
          <m:t>=</m:t>
        </m:r>
        <m:f>
          <m:fPr>
            <m:ctrlPr>
              <w:rPr>
                <w:rFonts w:ascii="Cambria Math" w:hAnsi="Cambria Math"/>
                <w:noProof/>
                <w:color w:val="000000" w:themeColor="text1"/>
                <w:sz w:val="36"/>
                <w:szCs w:val="36"/>
              </w:rPr>
            </m:ctrlPr>
          </m:fPr>
          <m:num>
            <m:sSub>
              <m:sSubPr>
                <m:ctrlPr>
                  <w:rPr>
                    <w:rFonts w:ascii="Cambria Math" w:hAnsi="Cambria Math"/>
                    <w:noProof/>
                    <w:color w:val="000000" w:themeColor="text1"/>
                    <w:sz w:val="36"/>
                    <w:szCs w:val="36"/>
                  </w:rPr>
                </m:ctrlPr>
              </m:sSubPr>
              <m:e>
                <m:r>
                  <m:rPr>
                    <m:sty m:val="p"/>
                  </m:rPr>
                  <w:rPr>
                    <w:rFonts w:ascii="Cambria Math" w:hAnsi="Cambria Math"/>
                    <w:noProof/>
                    <w:color w:val="000000" w:themeColor="text1"/>
                    <w:sz w:val="36"/>
                    <w:szCs w:val="36"/>
                    <w:lang w:val="vi-VN"/>
                  </w:rPr>
                  <m:t>T</m:t>
                </m:r>
              </m:e>
              <m:sub>
                <m:r>
                  <m:rPr>
                    <m:sty m:val="p"/>
                  </m:rPr>
                  <w:rPr>
                    <w:rFonts w:ascii="Cambria Math" w:hAnsi="Cambria Math"/>
                    <w:noProof/>
                    <w:color w:val="000000" w:themeColor="text1"/>
                    <w:sz w:val="36"/>
                    <w:szCs w:val="36"/>
                    <w:lang w:val="vi-VN"/>
                  </w:rPr>
                  <m:t>đ</m:t>
                </m:r>
              </m:sub>
            </m:sSub>
            <m:r>
              <m:rPr>
                <m:sty m:val="p"/>
              </m:rPr>
              <w:rPr>
                <w:rFonts w:ascii="Cambria Math" w:hAnsi="Cambria Math"/>
                <w:noProof/>
                <w:color w:val="000000" w:themeColor="text1"/>
                <w:sz w:val="36"/>
                <w:szCs w:val="36"/>
                <w:lang w:val="vi-VN"/>
              </w:rPr>
              <m:t>×0,087×(1+0,087</m:t>
            </m:r>
            <m:sSup>
              <m:sSupPr>
                <m:ctrlPr>
                  <w:rPr>
                    <w:rFonts w:ascii="Cambria Math" w:hAnsi="Cambria Math"/>
                    <w:noProof/>
                    <w:color w:val="000000" w:themeColor="text1"/>
                    <w:sz w:val="36"/>
                    <w:szCs w:val="36"/>
                  </w:rPr>
                </m:ctrlPr>
              </m:sSupPr>
              <m:e>
                <m:r>
                  <m:rPr>
                    <m:sty m:val="p"/>
                  </m:rPr>
                  <w:rPr>
                    <w:rFonts w:ascii="Cambria Math" w:hAnsi="Cambria Math"/>
                    <w:noProof/>
                    <w:color w:val="000000" w:themeColor="text1"/>
                    <w:sz w:val="36"/>
                    <w:szCs w:val="36"/>
                    <w:lang w:val="vi-VN"/>
                  </w:rPr>
                  <m:t>)</m:t>
                </m:r>
              </m:e>
              <m:sup>
                <m:r>
                  <m:rPr>
                    <m:sty m:val="p"/>
                  </m:rPr>
                  <w:rPr>
                    <w:rFonts w:ascii="Cambria Math" w:hAnsi="Cambria Math"/>
                    <w:noProof/>
                    <w:color w:val="000000" w:themeColor="text1"/>
                    <w:sz w:val="36"/>
                    <w:szCs w:val="36"/>
                    <w:lang w:val="vi-VN"/>
                  </w:rPr>
                  <m:t>20</m:t>
                </m:r>
              </m:sup>
            </m:sSup>
          </m:num>
          <m:den>
            <m:r>
              <m:rPr>
                <m:sty m:val="p"/>
              </m:rPr>
              <w:rPr>
                <w:rFonts w:ascii="Cambria Math" w:hAnsi="Cambria Math"/>
                <w:noProof/>
                <w:color w:val="000000" w:themeColor="text1"/>
                <w:sz w:val="36"/>
                <w:szCs w:val="36"/>
                <w:lang w:val="vi-VN"/>
              </w:rPr>
              <m:t>(1+0,87</m:t>
            </m:r>
            <m:sSup>
              <m:sSupPr>
                <m:ctrlPr>
                  <w:rPr>
                    <w:rFonts w:ascii="Cambria Math" w:hAnsi="Cambria Math"/>
                    <w:noProof/>
                    <w:color w:val="000000" w:themeColor="text1"/>
                    <w:sz w:val="36"/>
                    <w:szCs w:val="36"/>
                  </w:rPr>
                </m:ctrlPr>
              </m:sSupPr>
              <m:e>
                <m:r>
                  <m:rPr>
                    <m:sty m:val="p"/>
                  </m:rPr>
                  <w:rPr>
                    <w:rFonts w:ascii="Cambria Math" w:hAnsi="Cambria Math"/>
                    <w:noProof/>
                    <w:color w:val="000000" w:themeColor="text1"/>
                    <w:sz w:val="36"/>
                    <w:szCs w:val="36"/>
                    <w:lang w:val="vi-VN"/>
                  </w:rPr>
                  <m:t>)</m:t>
                </m:r>
              </m:e>
              <m:sup>
                <m:r>
                  <m:rPr>
                    <m:sty m:val="p"/>
                  </m:rPr>
                  <w:rPr>
                    <w:rFonts w:ascii="Cambria Math" w:hAnsi="Cambria Math"/>
                    <w:noProof/>
                    <w:color w:val="000000" w:themeColor="text1"/>
                    <w:sz w:val="36"/>
                    <w:szCs w:val="36"/>
                    <w:lang w:val="vi-VN"/>
                  </w:rPr>
                  <m:t>20</m:t>
                </m:r>
              </m:sup>
            </m:sSup>
            <m:r>
              <m:rPr>
                <m:sty m:val="p"/>
              </m:rPr>
              <w:rPr>
                <w:rFonts w:ascii="Cambria Math" w:hAnsi="Cambria Math"/>
                <w:noProof/>
                <w:color w:val="000000" w:themeColor="text1"/>
                <w:sz w:val="36"/>
                <w:szCs w:val="36"/>
                <w:lang w:val="vi-VN"/>
              </w:rPr>
              <m:t>-1</m:t>
            </m:r>
          </m:den>
        </m:f>
      </m:oMath>
    </w:p>
    <w:p w:rsidR="009A1872" w:rsidRPr="00DA6BF3" w:rsidRDefault="009A1872" w:rsidP="00521B55">
      <w:pPr>
        <w:spacing w:line="320" w:lineRule="exact"/>
        <w:rPr>
          <w:color w:val="000000" w:themeColor="text1"/>
          <w:sz w:val="20"/>
          <w:szCs w:val="28"/>
        </w:rPr>
      </w:pPr>
    </w:p>
    <w:tbl>
      <w:tblPr>
        <w:tblW w:w="6339" w:type="dxa"/>
        <w:tblCellSpacing w:w="0" w:type="dxa"/>
        <w:tblInd w:w="1985" w:type="dxa"/>
        <w:shd w:val="clear" w:color="auto" w:fill="FFFFFF"/>
        <w:tblCellMar>
          <w:left w:w="0" w:type="dxa"/>
          <w:right w:w="0" w:type="dxa"/>
        </w:tblCellMar>
        <w:tblLook w:val="04A0"/>
      </w:tblPr>
      <w:tblGrid>
        <w:gridCol w:w="937"/>
        <w:gridCol w:w="1439"/>
        <w:gridCol w:w="3963"/>
      </w:tblGrid>
      <w:tr w:rsidR="007369CE" w:rsidRPr="00E93C5E" w:rsidTr="001E53FA">
        <w:trPr>
          <w:trHeight w:val="353"/>
          <w:tblCellSpacing w:w="0" w:type="dxa"/>
        </w:trPr>
        <w:tc>
          <w:tcPr>
            <w:tcW w:w="937" w:type="dxa"/>
            <w:vMerge w:val="restart"/>
            <w:shd w:val="clear" w:color="auto" w:fill="FFFFFF"/>
            <w:tcMar>
              <w:top w:w="0" w:type="dxa"/>
              <w:left w:w="108" w:type="dxa"/>
              <w:bottom w:w="0" w:type="dxa"/>
              <w:right w:w="108" w:type="dxa"/>
            </w:tcMar>
            <w:vAlign w:val="center"/>
            <w:hideMark/>
          </w:tcPr>
          <w:p w:rsidR="007369CE" w:rsidRPr="00E93C5E" w:rsidRDefault="007369CE" w:rsidP="00521B55">
            <w:pPr>
              <w:spacing w:line="320" w:lineRule="exact"/>
              <w:jc w:val="both"/>
              <w:rPr>
                <w:color w:val="000000" w:themeColor="text1"/>
                <w:sz w:val="28"/>
                <w:szCs w:val="28"/>
              </w:rPr>
            </w:pPr>
            <w:r w:rsidRPr="00E93C5E">
              <w:rPr>
                <w:color w:val="000000" w:themeColor="text1"/>
                <w:sz w:val="28"/>
                <w:szCs w:val="28"/>
              </w:rPr>
              <w:t>G</w:t>
            </w:r>
            <w:r w:rsidRPr="00E93C5E">
              <w:rPr>
                <w:color w:val="000000" w:themeColor="text1"/>
                <w:sz w:val="28"/>
                <w:szCs w:val="28"/>
                <w:vertAlign w:val="subscript"/>
              </w:rPr>
              <w:t>t</w:t>
            </w:r>
            <w:r w:rsidRPr="00E93C5E">
              <w:rPr>
                <w:color w:val="000000" w:themeColor="text1"/>
                <w:sz w:val="28"/>
                <w:szCs w:val="28"/>
              </w:rPr>
              <w:t> =</w:t>
            </w:r>
          </w:p>
        </w:tc>
        <w:tc>
          <w:tcPr>
            <w:tcW w:w="1439" w:type="dxa"/>
            <w:tcBorders>
              <w:bottom w:val="single" w:sz="4" w:space="0" w:color="auto"/>
            </w:tcBorders>
            <w:shd w:val="clear" w:color="auto" w:fill="FFFFFF"/>
            <w:tcMar>
              <w:top w:w="0" w:type="dxa"/>
              <w:left w:w="108" w:type="dxa"/>
              <w:bottom w:w="0" w:type="dxa"/>
              <w:right w:w="108" w:type="dxa"/>
            </w:tcMar>
            <w:vAlign w:val="center"/>
            <w:hideMark/>
          </w:tcPr>
          <w:p w:rsidR="007369CE" w:rsidRPr="00E93C5E" w:rsidRDefault="007369CE" w:rsidP="00521B55">
            <w:pPr>
              <w:spacing w:line="320" w:lineRule="exact"/>
              <w:jc w:val="center"/>
              <w:rPr>
                <w:color w:val="000000" w:themeColor="text1"/>
                <w:sz w:val="28"/>
                <w:szCs w:val="28"/>
              </w:rPr>
            </w:pPr>
            <w:r w:rsidRPr="00E93C5E">
              <w:rPr>
                <w:color w:val="000000" w:themeColor="text1"/>
                <w:sz w:val="28"/>
                <w:szCs w:val="28"/>
              </w:rPr>
              <w:t>V</w:t>
            </w:r>
            <w:r w:rsidRPr="00E93C5E">
              <w:rPr>
                <w:color w:val="000000" w:themeColor="text1"/>
                <w:sz w:val="28"/>
                <w:szCs w:val="28"/>
                <w:vertAlign w:val="subscript"/>
              </w:rPr>
              <w:t>đ</w:t>
            </w:r>
            <w:r w:rsidRPr="00E93C5E">
              <w:rPr>
                <w:color w:val="000000" w:themeColor="text1"/>
                <w:sz w:val="28"/>
                <w:szCs w:val="28"/>
              </w:rPr>
              <w:t> + B</w:t>
            </w:r>
            <w:r w:rsidRPr="00E93C5E">
              <w:rPr>
                <w:color w:val="000000" w:themeColor="text1"/>
                <w:sz w:val="28"/>
                <w:szCs w:val="28"/>
                <w:vertAlign w:val="subscript"/>
              </w:rPr>
              <w:t>t</w:t>
            </w:r>
          </w:p>
        </w:tc>
        <w:tc>
          <w:tcPr>
            <w:tcW w:w="3963" w:type="dxa"/>
            <w:vMerge w:val="restart"/>
            <w:shd w:val="clear" w:color="auto" w:fill="FFFFFF"/>
            <w:tcMar>
              <w:top w:w="0" w:type="dxa"/>
              <w:left w:w="108" w:type="dxa"/>
              <w:bottom w:w="0" w:type="dxa"/>
              <w:right w:w="108" w:type="dxa"/>
            </w:tcMar>
            <w:vAlign w:val="center"/>
            <w:hideMark/>
          </w:tcPr>
          <w:p w:rsidR="007369CE" w:rsidRPr="00E93C5E" w:rsidRDefault="007369CE" w:rsidP="00521B55">
            <w:pPr>
              <w:spacing w:line="320" w:lineRule="exact"/>
              <w:jc w:val="both"/>
              <w:rPr>
                <w:color w:val="000000" w:themeColor="text1"/>
                <w:sz w:val="28"/>
                <w:szCs w:val="28"/>
              </w:rPr>
            </w:pPr>
            <w:r w:rsidRPr="00E93C5E">
              <w:rPr>
                <w:color w:val="000000" w:themeColor="text1"/>
                <w:sz w:val="28"/>
                <w:szCs w:val="28"/>
              </w:rPr>
              <w:t>x K x (1+GTGT) + L</w:t>
            </w:r>
          </w:p>
        </w:tc>
      </w:tr>
      <w:tr w:rsidR="007369CE" w:rsidRPr="00E93C5E" w:rsidTr="001E53FA">
        <w:trPr>
          <w:trHeight w:val="352"/>
          <w:tblCellSpacing w:w="0" w:type="dxa"/>
        </w:trPr>
        <w:tc>
          <w:tcPr>
            <w:tcW w:w="937" w:type="dxa"/>
            <w:vMerge/>
            <w:shd w:val="clear" w:color="auto" w:fill="FFFFFF"/>
            <w:vAlign w:val="center"/>
            <w:hideMark/>
          </w:tcPr>
          <w:p w:rsidR="007369CE" w:rsidRPr="00E93C5E" w:rsidRDefault="007369CE" w:rsidP="00521B55">
            <w:pPr>
              <w:spacing w:line="320" w:lineRule="exact"/>
              <w:jc w:val="both"/>
              <w:rPr>
                <w:color w:val="000000" w:themeColor="text1"/>
                <w:sz w:val="28"/>
                <w:szCs w:val="28"/>
              </w:rPr>
            </w:pPr>
          </w:p>
        </w:tc>
        <w:tc>
          <w:tcPr>
            <w:tcW w:w="1439" w:type="dxa"/>
            <w:shd w:val="clear" w:color="auto" w:fill="FFFFFF"/>
            <w:tcMar>
              <w:top w:w="0" w:type="dxa"/>
              <w:left w:w="108" w:type="dxa"/>
              <w:bottom w:w="0" w:type="dxa"/>
              <w:right w:w="108" w:type="dxa"/>
            </w:tcMar>
            <w:hideMark/>
          </w:tcPr>
          <w:p w:rsidR="007369CE" w:rsidRPr="00E93C5E" w:rsidRDefault="007369CE" w:rsidP="00521B55">
            <w:pPr>
              <w:spacing w:line="320" w:lineRule="exact"/>
              <w:jc w:val="center"/>
              <w:rPr>
                <w:color w:val="000000" w:themeColor="text1"/>
                <w:sz w:val="28"/>
                <w:szCs w:val="28"/>
                <w:vertAlign w:val="superscript"/>
              </w:rPr>
            </w:pPr>
            <w:r w:rsidRPr="00E93C5E">
              <w:rPr>
                <w:color w:val="000000" w:themeColor="text1"/>
                <w:sz w:val="28"/>
                <w:szCs w:val="28"/>
              </w:rPr>
              <w:t>12xS</w:t>
            </w:r>
            <w:r w:rsidRPr="00E93C5E">
              <w:rPr>
                <w:color w:val="000000" w:themeColor="text1"/>
                <w:sz w:val="28"/>
                <w:szCs w:val="28"/>
                <w:vertAlign w:val="subscript"/>
              </w:rPr>
              <w:t>t</w:t>
            </w:r>
            <w:r w:rsidRPr="00E93C5E">
              <w:rPr>
                <w:color w:val="000000" w:themeColor="text1"/>
                <w:sz w:val="28"/>
                <w:szCs w:val="28"/>
              </w:rPr>
              <w:t> </w:t>
            </w:r>
          </w:p>
        </w:tc>
        <w:tc>
          <w:tcPr>
            <w:tcW w:w="3963" w:type="dxa"/>
            <w:vMerge/>
            <w:shd w:val="clear" w:color="auto" w:fill="FFFFFF"/>
            <w:vAlign w:val="center"/>
            <w:hideMark/>
          </w:tcPr>
          <w:p w:rsidR="007369CE" w:rsidRPr="00E93C5E" w:rsidRDefault="007369CE" w:rsidP="00521B55">
            <w:pPr>
              <w:spacing w:line="320" w:lineRule="exact"/>
              <w:jc w:val="both"/>
              <w:rPr>
                <w:color w:val="000000" w:themeColor="text1"/>
                <w:sz w:val="28"/>
                <w:szCs w:val="28"/>
              </w:rPr>
            </w:pPr>
          </w:p>
        </w:tc>
      </w:tr>
    </w:tbl>
    <w:p w:rsidR="001E53FA" w:rsidRPr="00E93C5E" w:rsidRDefault="001E53FA" w:rsidP="00521B55">
      <w:pPr>
        <w:spacing w:line="320" w:lineRule="exact"/>
        <w:rPr>
          <w:color w:val="000000" w:themeColor="text1"/>
          <w:sz w:val="28"/>
          <w:szCs w:val="28"/>
        </w:rPr>
      </w:pPr>
    </w:p>
    <w:p w:rsidR="001E53FA" w:rsidRPr="00E93C5E" w:rsidRDefault="001E53FA" w:rsidP="00521B55">
      <w:pPr>
        <w:spacing w:line="320" w:lineRule="exact"/>
        <w:rPr>
          <w:color w:val="000000" w:themeColor="text1"/>
          <w:sz w:val="28"/>
          <w:szCs w:val="28"/>
        </w:rPr>
      </w:pPr>
    </w:p>
    <w:tbl>
      <w:tblPr>
        <w:tblW w:w="6096" w:type="dxa"/>
        <w:tblCellSpacing w:w="0" w:type="dxa"/>
        <w:tblInd w:w="1985" w:type="dxa"/>
        <w:shd w:val="clear" w:color="auto" w:fill="FFFFFF"/>
        <w:tblCellMar>
          <w:left w:w="0" w:type="dxa"/>
          <w:right w:w="0" w:type="dxa"/>
        </w:tblCellMar>
        <w:tblLook w:val="04A0"/>
      </w:tblPr>
      <w:tblGrid>
        <w:gridCol w:w="1134"/>
        <w:gridCol w:w="4962"/>
      </w:tblGrid>
      <w:tr w:rsidR="00521B55" w:rsidRPr="00E93C5E" w:rsidTr="004C63B0">
        <w:trPr>
          <w:trHeight w:val="353"/>
          <w:tblCellSpacing w:w="0" w:type="dxa"/>
        </w:trPr>
        <w:tc>
          <w:tcPr>
            <w:tcW w:w="1134" w:type="dxa"/>
            <w:shd w:val="clear" w:color="auto" w:fill="FFFFFF"/>
          </w:tcPr>
          <w:p w:rsidR="00521B55" w:rsidRPr="00E93C5E" w:rsidRDefault="00521B55" w:rsidP="00521B55">
            <w:pPr>
              <w:spacing w:line="320" w:lineRule="exact"/>
              <w:jc w:val="center"/>
              <w:rPr>
                <w:color w:val="000000" w:themeColor="text1"/>
                <w:sz w:val="28"/>
                <w:szCs w:val="28"/>
              </w:rPr>
            </w:pPr>
            <w:r w:rsidRPr="00E93C5E">
              <w:rPr>
                <w:color w:val="000000" w:themeColor="text1"/>
                <w:sz w:val="28"/>
                <w:szCs w:val="28"/>
              </w:rPr>
              <w:t>B</w:t>
            </w:r>
            <w:r w:rsidRPr="00E93C5E">
              <w:rPr>
                <w:color w:val="000000" w:themeColor="text1"/>
                <w:sz w:val="28"/>
                <w:szCs w:val="28"/>
                <w:vertAlign w:val="subscript"/>
              </w:rPr>
              <w:t>t</w:t>
            </w:r>
          </w:p>
        </w:tc>
        <w:tc>
          <w:tcPr>
            <w:tcW w:w="4962" w:type="dxa"/>
            <w:vMerge w:val="restart"/>
            <w:shd w:val="clear" w:color="auto" w:fill="FFFFFF"/>
            <w:vAlign w:val="center"/>
          </w:tcPr>
          <w:p w:rsidR="00521B55" w:rsidRPr="00E93C5E" w:rsidRDefault="004C63B0" w:rsidP="00521B55">
            <w:pPr>
              <w:spacing w:line="320" w:lineRule="exact"/>
              <w:jc w:val="center"/>
              <w:rPr>
                <w:color w:val="000000" w:themeColor="text1"/>
                <w:sz w:val="28"/>
                <w:szCs w:val="28"/>
              </w:rPr>
            </w:pPr>
            <w:r>
              <w:rPr>
                <w:color w:val="000000" w:themeColor="text1"/>
                <w:sz w:val="28"/>
                <w:szCs w:val="28"/>
              </w:rPr>
              <w:t xml:space="preserve"> </w:t>
            </w:r>
            <w:r w:rsidR="00521B55">
              <w:rPr>
                <w:color w:val="000000" w:themeColor="text1"/>
                <w:sz w:val="28"/>
                <w:szCs w:val="28"/>
              </w:rPr>
              <w:t>Tính bằng 2% giá thuê chưa bao gồm thuế</w:t>
            </w:r>
          </w:p>
        </w:tc>
      </w:tr>
      <w:tr w:rsidR="00521B55" w:rsidRPr="00E93C5E" w:rsidTr="004C63B0">
        <w:trPr>
          <w:trHeight w:val="352"/>
          <w:tblCellSpacing w:w="0" w:type="dxa"/>
        </w:trPr>
        <w:tc>
          <w:tcPr>
            <w:tcW w:w="1134" w:type="dxa"/>
            <w:tcBorders>
              <w:top w:val="single" w:sz="4" w:space="0" w:color="auto"/>
            </w:tcBorders>
            <w:shd w:val="clear" w:color="auto" w:fill="FFFFFF"/>
          </w:tcPr>
          <w:p w:rsidR="00521B55" w:rsidRPr="00E93C5E" w:rsidRDefault="00521B55" w:rsidP="00521B55">
            <w:pPr>
              <w:spacing w:line="320" w:lineRule="exact"/>
              <w:jc w:val="center"/>
              <w:rPr>
                <w:color w:val="000000" w:themeColor="text1"/>
                <w:sz w:val="28"/>
                <w:szCs w:val="28"/>
              </w:rPr>
            </w:pPr>
            <w:r w:rsidRPr="00E93C5E">
              <w:rPr>
                <w:color w:val="000000" w:themeColor="text1"/>
                <w:sz w:val="28"/>
                <w:szCs w:val="28"/>
              </w:rPr>
              <w:t>12xS</w:t>
            </w:r>
            <w:r w:rsidRPr="00E93C5E">
              <w:rPr>
                <w:color w:val="000000" w:themeColor="text1"/>
                <w:sz w:val="28"/>
                <w:szCs w:val="28"/>
                <w:vertAlign w:val="subscript"/>
              </w:rPr>
              <w:t>t</w:t>
            </w:r>
          </w:p>
        </w:tc>
        <w:tc>
          <w:tcPr>
            <w:tcW w:w="4962" w:type="dxa"/>
            <w:vMerge/>
            <w:shd w:val="clear" w:color="auto" w:fill="FFFFFF"/>
          </w:tcPr>
          <w:p w:rsidR="00521B55" w:rsidRPr="00E93C5E" w:rsidRDefault="00521B55" w:rsidP="00521B55">
            <w:pPr>
              <w:spacing w:line="320" w:lineRule="exact"/>
              <w:jc w:val="center"/>
              <w:rPr>
                <w:color w:val="000000" w:themeColor="text1"/>
                <w:sz w:val="28"/>
                <w:szCs w:val="28"/>
              </w:rPr>
            </w:pPr>
          </w:p>
        </w:tc>
      </w:tr>
    </w:tbl>
    <w:p w:rsidR="0068305E" w:rsidRDefault="0068305E" w:rsidP="00521B55">
      <w:pPr>
        <w:spacing w:line="320" w:lineRule="exact"/>
        <w:rPr>
          <w:color w:val="000000" w:themeColor="text1"/>
          <w:sz w:val="28"/>
          <w:szCs w:val="28"/>
        </w:rPr>
      </w:pPr>
    </w:p>
    <w:tbl>
      <w:tblPr>
        <w:tblW w:w="6533" w:type="dxa"/>
        <w:tblCellSpacing w:w="0" w:type="dxa"/>
        <w:tblInd w:w="1985" w:type="dxa"/>
        <w:shd w:val="clear" w:color="auto" w:fill="FFFFFF"/>
        <w:tblCellMar>
          <w:left w:w="0" w:type="dxa"/>
          <w:right w:w="0" w:type="dxa"/>
        </w:tblCellMar>
        <w:tblLook w:val="04A0"/>
      </w:tblPr>
      <w:tblGrid>
        <w:gridCol w:w="717"/>
        <w:gridCol w:w="251"/>
        <w:gridCol w:w="985"/>
        <w:gridCol w:w="302"/>
        <w:gridCol w:w="1349"/>
        <w:gridCol w:w="94"/>
        <w:gridCol w:w="2835"/>
      </w:tblGrid>
      <w:tr w:rsidR="004C63B0" w:rsidRPr="00E93C5E" w:rsidTr="006B4A4B">
        <w:trPr>
          <w:trHeight w:val="353"/>
          <w:tblCellSpacing w:w="0" w:type="dxa"/>
        </w:trPr>
        <w:tc>
          <w:tcPr>
            <w:tcW w:w="717" w:type="dxa"/>
            <w:vMerge w:val="restart"/>
            <w:shd w:val="clear" w:color="auto" w:fill="FFFFFF"/>
            <w:tcMar>
              <w:top w:w="0" w:type="dxa"/>
              <w:left w:w="108" w:type="dxa"/>
              <w:bottom w:w="0" w:type="dxa"/>
              <w:right w:w="108" w:type="dxa"/>
            </w:tcMar>
            <w:vAlign w:val="center"/>
            <w:hideMark/>
          </w:tcPr>
          <w:p w:rsidR="004C63B0" w:rsidRPr="00E93C5E" w:rsidRDefault="004C63B0" w:rsidP="00202D1A">
            <w:pPr>
              <w:spacing w:line="320" w:lineRule="exact"/>
              <w:jc w:val="both"/>
              <w:rPr>
                <w:color w:val="000000" w:themeColor="text1"/>
                <w:sz w:val="28"/>
                <w:szCs w:val="28"/>
              </w:rPr>
            </w:pPr>
            <w:r w:rsidRPr="00E93C5E">
              <w:rPr>
                <w:color w:val="000000" w:themeColor="text1"/>
                <w:sz w:val="28"/>
                <w:szCs w:val="28"/>
              </w:rPr>
              <w:t>G</w:t>
            </w:r>
            <w:r w:rsidRPr="00E93C5E">
              <w:rPr>
                <w:color w:val="000000" w:themeColor="text1"/>
                <w:sz w:val="28"/>
                <w:szCs w:val="28"/>
                <w:vertAlign w:val="subscript"/>
              </w:rPr>
              <w:t>t</w:t>
            </w:r>
            <w:r w:rsidRPr="00E93C5E">
              <w:rPr>
                <w:color w:val="000000" w:themeColor="text1"/>
                <w:sz w:val="28"/>
                <w:szCs w:val="28"/>
              </w:rPr>
              <w:t> =</w:t>
            </w:r>
          </w:p>
        </w:tc>
        <w:tc>
          <w:tcPr>
            <w:tcW w:w="251" w:type="dxa"/>
            <w:vMerge w:val="restart"/>
            <w:shd w:val="clear" w:color="auto" w:fill="FFFFFF"/>
            <w:vAlign w:val="center"/>
          </w:tcPr>
          <w:p w:rsidR="004C63B0" w:rsidRPr="00E93C5E" w:rsidRDefault="004C63B0" w:rsidP="00202D1A">
            <w:pPr>
              <w:spacing w:line="320" w:lineRule="exact"/>
              <w:jc w:val="right"/>
              <w:rPr>
                <w:color w:val="000000" w:themeColor="text1"/>
                <w:sz w:val="28"/>
                <w:szCs w:val="28"/>
              </w:rPr>
            </w:pPr>
            <w:r w:rsidRPr="00E93C5E">
              <w:rPr>
                <w:color w:val="000000" w:themeColor="text1"/>
                <w:sz w:val="28"/>
                <w:szCs w:val="28"/>
              </w:rPr>
              <w:t>(</w:t>
            </w:r>
          </w:p>
        </w:tc>
        <w:tc>
          <w:tcPr>
            <w:tcW w:w="985" w:type="dxa"/>
            <w:shd w:val="clear" w:color="auto" w:fill="FFFFFF"/>
            <w:tcMar>
              <w:top w:w="0" w:type="dxa"/>
              <w:left w:w="108" w:type="dxa"/>
              <w:bottom w:w="0" w:type="dxa"/>
              <w:right w:w="108" w:type="dxa"/>
            </w:tcMar>
            <w:vAlign w:val="center"/>
            <w:hideMark/>
          </w:tcPr>
          <w:p w:rsidR="004C63B0" w:rsidRPr="00E93C5E" w:rsidRDefault="004C63B0" w:rsidP="00202D1A">
            <w:pPr>
              <w:spacing w:line="320" w:lineRule="exact"/>
              <w:jc w:val="center"/>
              <w:rPr>
                <w:color w:val="000000" w:themeColor="text1"/>
                <w:sz w:val="28"/>
                <w:szCs w:val="28"/>
              </w:rPr>
            </w:pPr>
            <w:r w:rsidRPr="00E93C5E">
              <w:rPr>
                <w:color w:val="000000" w:themeColor="text1"/>
                <w:sz w:val="28"/>
                <w:szCs w:val="28"/>
              </w:rPr>
              <w:t>V</w:t>
            </w:r>
            <w:r w:rsidRPr="00E93C5E">
              <w:rPr>
                <w:color w:val="000000" w:themeColor="text1"/>
                <w:sz w:val="28"/>
                <w:szCs w:val="28"/>
                <w:vertAlign w:val="subscript"/>
              </w:rPr>
              <w:t>đ</w:t>
            </w:r>
          </w:p>
        </w:tc>
        <w:tc>
          <w:tcPr>
            <w:tcW w:w="302" w:type="dxa"/>
            <w:vMerge w:val="restart"/>
            <w:shd w:val="clear" w:color="auto" w:fill="FFFFFF"/>
            <w:vAlign w:val="center"/>
          </w:tcPr>
          <w:p w:rsidR="004C63B0" w:rsidRPr="00E93C5E" w:rsidRDefault="004C63B0" w:rsidP="00202D1A">
            <w:pPr>
              <w:spacing w:line="320" w:lineRule="exact"/>
              <w:jc w:val="center"/>
              <w:rPr>
                <w:color w:val="000000" w:themeColor="text1"/>
                <w:sz w:val="28"/>
                <w:szCs w:val="28"/>
              </w:rPr>
            </w:pPr>
            <w:r w:rsidRPr="00E93C5E">
              <w:rPr>
                <w:color w:val="000000" w:themeColor="text1"/>
                <w:sz w:val="28"/>
                <w:szCs w:val="28"/>
              </w:rPr>
              <w:t>+</w:t>
            </w:r>
          </w:p>
        </w:tc>
        <w:tc>
          <w:tcPr>
            <w:tcW w:w="1349" w:type="dxa"/>
            <w:vMerge w:val="restart"/>
            <w:shd w:val="clear" w:color="auto" w:fill="FFFFFF"/>
          </w:tcPr>
          <w:p w:rsidR="004C63B0" w:rsidRPr="00E93C5E" w:rsidRDefault="004C63B0" w:rsidP="00202D1A">
            <w:pPr>
              <w:spacing w:line="320" w:lineRule="exact"/>
              <w:jc w:val="center"/>
              <w:rPr>
                <w:color w:val="000000" w:themeColor="text1"/>
                <w:sz w:val="28"/>
                <w:szCs w:val="28"/>
              </w:rPr>
            </w:pPr>
            <w:r>
              <w:rPr>
                <w:color w:val="000000" w:themeColor="text1"/>
                <w:sz w:val="28"/>
                <w:szCs w:val="28"/>
              </w:rPr>
              <w:t>Bảo trì trước thuế</w:t>
            </w:r>
          </w:p>
        </w:tc>
        <w:tc>
          <w:tcPr>
            <w:tcW w:w="94" w:type="dxa"/>
            <w:vMerge w:val="restart"/>
            <w:shd w:val="clear" w:color="auto" w:fill="FFFFFF"/>
            <w:vAlign w:val="center"/>
          </w:tcPr>
          <w:p w:rsidR="004C63B0" w:rsidRPr="00E93C5E" w:rsidRDefault="004C63B0" w:rsidP="00202D1A">
            <w:pPr>
              <w:spacing w:line="320" w:lineRule="exact"/>
              <w:rPr>
                <w:color w:val="000000" w:themeColor="text1"/>
                <w:sz w:val="28"/>
                <w:szCs w:val="28"/>
              </w:rPr>
            </w:pPr>
            <w:r w:rsidRPr="00E93C5E">
              <w:rPr>
                <w:color w:val="000000" w:themeColor="text1"/>
                <w:sz w:val="28"/>
                <w:szCs w:val="28"/>
              </w:rPr>
              <w:t>)</w:t>
            </w:r>
          </w:p>
        </w:tc>
        <w:tc>
          <w:tcPr>
            <w:tcW w:w="2835" w:type="dxa"/>
            <w:vMerge w:val="restart"/>
            <w:shd w:val="clear" w:color="auto" w:fill="FFFFFF"/>
            <w:tcMar>
              <w:top w:w="0" w:type="dxa"/>
              <w:left w:w="108" w:type="dxa"/>
              <w:bottom w:w="0" w:type="dxa"/>
              <w:right w:w="108" w:type="dxa"/>
            </w:tcMar>
            <w:vAlign w:val="center"/>
            <w:hideMark/>
          </w:tcPr>
          <w:p w:rsidR="004C63B0" w:rsidRPr="00E93C5E" w:rsidRDefault="004C63B0" w:rsidP="00202D1A">
            <w:pPr>
              <w:spacing w:line="320" w:lineRule="exact"/>
              <w:jc w:val="both"/>
              <w:rPr>
                <w:color w:val="000000" w:themeColor="text1"/>
                <w:sz w:val="28"/>
                <w:szCs w:val="28"/>
              </w:rPr>
            </w:pPr>
            <w:r w:rsidRPr="00E93C5E">
              <w:rPr>
                <w:color w:val="000000" w:themeColor="text1"/>
                <w:sz w:val="28"/>
                <w:szCs w:val="28"/>
              </w:rPr>
              <w:t>x K x (1+GTGT) + L</w:t>
            </w:r>
          </w:p>
        </w:tc>
      </w:tr>
      <w:tr w:rsidR="004C63B0" w:rsidRPr="00E93C5E" w:rsidTr="006B4A4B">
        <w:trPr>
          <w:trHeight w:val="352"/>
          <w:tblCellSpacing w:w="0" w:type="dxa"/>
        </w:trPr>
        <w:tc>
          <w:tcPr>
            <w:tcW w:w="717" w:type="dxa"/>
            <w:vMerge/>
            <w:shd w:val="clear" w:color="auto" w:fill="FFFFFF"/>
            <w:vAlign w:val="center"/>
            <w:hideMark/>
          </w:tcPr>
          <w:p w:rsidR="004C63B0" w:rsidRPr="00E93C5E" w:rsidRDefault="004C63B0" w:rsidP="00202D1A">
            <w:pPr>
              <w:spacing w:line="320" w:lineRule="exact"/>
              <w:jc w:val="both"/>
              <w:rPr>
                <w:color w:val="000000" w:themeColor="text1"/>
                <w:sz w:val="28"/>
                <w:szCs w:val="28"/>
              </w:rPr>
            </w:pPr>
          </w:p>
        </w:tc>
        <w:tc>
          <w:tcPr>
            <w:tcW w:w="251" w:type="dxa"/>
            <w:vMerge/>
            <w:shd w:val="clear" w:color="auto" w:fill="FFFFFF"/>
          </w:tcPr>
          <w:p w:rsidR="004C63B0" w:rsidRPr="00E93C5E" w:rsidRDefault="004C63B0" w:rsidP="00202D1A">
            <w:pPr>
              <w:spacing w:line="320" w:lineRule="exact"/>
              <w:jc w:val="center"/>
              <w:rPr>
                <w:color w:val="000000" w:themeColor="text1"/>
                <w:sz w:val="28"/>
                <w:szCs w:val="28"/>
              </w:rPr>
            </w:pPr>
          </w:p>
        </w:tc>
        <w:tc>
          <w:tcPr>
            <w:tcW w:w="985" w:type="dxa"/>
            <w:tcBorders>
              <w:top w:val="single" w:sz="4" w:space="0" w:color="auto"/>
            </w:tcBorders>
            <w:shd w:val="clear" w:color="auto" w:fill="FFFFFF"/>
            <w:tcMar>
              <w:top w:w="0" w:type="dxa"/>
              <w:left w:w="108" w:type="dxa"/>
              <w:bottom w:w="0" w:type="dxa"/>
              <w:right w:w="108" w:type="dxa"/>
            </w:tcMar>
            <w:hideMark/>
          </w:tcPr>
          <w:p w:rsidR="004C63B0" w:rsidRPr="00E93C5E" w:rsidRDefault="004C63B0" w:rsidP="00202D1A">
            <w:pPr>
              <w:spacing w:line="320" w:lineRule="exact"/>
              <w:jc w:val="center"/>
              <w:rPr>
                <w:color w:val="000000" w:themeColor="text1"/>
                <w:sz w:val="28"/>
                <w:szCs w:val="28"/>
                <w:vertAlign w:val="superscript"/>
              </w:rPr>
            </w:pPr>
            <w:r w:rsidRPr="00E93C5E">
              <w:rPr>
                <w:color w:val="000000" w:themeColor="text1"/>
                <w:sz w:val="28"/>
                <w:szCs w:val="28"/>
              </w:rPr>
              <w:t>12xS</w:t>
            </w:r>
            <w:r w:rsidRPr="00E93C5E">
              <w:rPr>
                <w:color w:val="000000" w:themeColor="text1"/>
                <w:sz w:val="28"/>
                <w:szCs w:val="28"/>
                <w:vertAlign w:val="subscript"/>
              </w:rPr>
              <w:t>t</w:t>
            </w:r>
            <w:r w:rsidRPr="00E93C5E">
              <w:rPr>
                <w:color w:val="000000" w:themeColor="text1"/>
                <w:sz w:val="28"/>
                <w:szCs w:val="28"/>
              </w:rPr>
              <w:t> </w:t>
            </w:r>
          </w:p>
        </w:tc>
        <w:tc>
          <w:tcPr>
            <w:tcW w:w="302" w:type="dxa"/>
            <w:vMerge/>
            <w:shd w:val="clear" w:color="auto" w:fill="FFFFFF"/>
          </w:tcPr>
          <w:p w:rsidR="004C63B0" w:rsidRPr="00E93C5E" w:rsidRDefault="004C63B0" w:rsidP="00202D1A">
            <w:pPr>
              <w:spacing w:line="320" w:lineRule="exact"/>
              <w:jc w:val="both"/>
              <w:rPr>
                <w:color w:val="000000" w:themeColor="text1"/>
                <w:sz w:val="28"/>
                <w:szCs w:val="28"/>
              </w:rPr>
            </w:pPr>
          </w:p>
        </w:tc>
        <w:tc>
          <w:tcPr>
            <w:tcW w:w="1349" w:type="dxa"/>
            <w:vMerge/>
            <w:shd w:val="clear" w:color="auto" w:fill="FFFFFF"/>
          </w:tcPr>
          <w:p w:rsidR="004C63B0" w:rsidRPr="00E93C5E" w:rsidRDefault="004C63B0" w:rsidP="00202D1A">
            <w:pPr>
              <w:spacing w:line="320" w:lineRule="exact"/>
              <w:jc w:val="center"/>
              <w:rPr>
                <w:color w:val="000000" w:themeColor="text1"/>
                <w:sz w:val="28"/>
                <w:szCs w:val="28"/>
              </w:rPr>
            </w:pPr>
          </w:p>
        </w:tc>
        <w:tc>
          <w:tcPr>
            <w:tcW w:w="94" w:type="dxa"/>
            <w:vMerge/>
            <w:shd w:val="clear" w:color="auto" w:fill="FFFFFF"/>
          </w:tcPr>
          <w:p w:rsidR="004C63B0" w:rsidRPr="00E93C5E" w:rsidRDefault="004C63B0" w:rsidP="00202D1A">
            <w:pPr>
              <w:spacing w:line="320" w:lineRule="exact"/>
              <w:jc w:val="both"/>
              <w:rPr>
                <w:color w:val="000000" w:themeColor="text1"/>
                <w:sz w:val="28"/>
                <w:szCs w:val="28"/>
              </w:rPr>
            </w:pPr>
          </w:p>
        </w:tc>
        <w:tc>
          <w:tcPr>
            <w:tcW w:w="2835" w:type="dxa"/>
            <w:vMerge/>
            <w:shd w:val="clear" w:color="auto" w:fill="FFFFFF"/>
            <w:vAlign w:val="center"/>
            <w:hideMark/>
          </w:tcPr>
          <w:p w:rsidR="004C63B0" w:rsidRPr="00E93C5E" w:rsidRDefault="004C63B0" w:rsidP="00202D1A">
            <w:pPr>
              <w:spacing w:line="320" w:lineRule="exact"/>
              <w:jc w:val="both"/>
              <w:rPr>
                <w:color w:val="000000" w:themeColor="text1"/>
                <w:sz w:val="28"/>
                <w:szCs w:val="28"/>
              </w:rPr>
            </w:pPr>
          </w:p>
        </w:tc>
      </w:tr>
    </w:tbl>
    <w:p w:rsidR="0068305E" w:rsidRDefault="0068305E" w:rsidP="00521B55">
      <w:pPr>
        <w:spacing w:line="320" w:lineRule="exact"/>
        <w:rPr>
          <w:color w:val="000000" w:themeColor="text1"/>
          <w:sz w:val="28"/>
          <w:szCs w:val="28"/>
        </w:rPr>
      </w:pPr>
    </w:p>
    <w:tbl>
      <w:tblPr>
        <w:tblStyle w:val="TableGrid"/>
        <w:tblW w:w="0" w:type="auto"/>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3"/>
        <w:gridCol w:w="1559"/>
      </w:tblGrid>
      <w:tr w:rsidR="00521B55" w:rsidRPr="00E93C5E" w:rsidTr="00521B55">
        <w:tc>
          <w:tcPr>
            <w:tcW w:w="1543" w:type="dxa"/>
            <w:vMerge w:val="restart"/>
            <w:vAlign w:val="center"/>
          </w:tcPr>
          <w:p w:rsidR="00521B55" w:rsidRPr="00E93C5E" w:rsidRDefault="00521B55" w:rsidP="00521B55">
            <w:pPr>
              <w:spacing w:line="320" w:lineRule="exact"/>
              <w:jc w:val="right"/>
              <w:rPr>
                <w:color w:val="000000" w:themeColor="text1"/>
                <w:sz w:val="28"/>
                <w:szCs w:val="28"/>
              </w:rPr>
            </w:pPr>
            <w:r w:rsidRPr="00E93C5E">
              <w:rPr>
                <w:color w:val="000000" w:themeColor="text1"/>
                <w:sz w:val="28"/>
                <w:szCs w:val="28"/>
              </w:rPr>
              <w:t>L=</w:t>
            </w:r>
          </w:p>
        </w:tc>
        <w:tc>
          <w:tcPr>
            <w:tcW w:w="1559" w:type="dxa"/>
            <w:tcBorders>
              <w:bottom w:val="single" w:sz="4" w:space="0" w:color="auto"/>
            </w:tcBorders>
          </w:tcPr>
          <w:p w:rsidR="00521B55" w:rsidRPr="00E93C5E" w:rsidRDefault="00521B55" w:rsidP="00521B55">
            <w:pPr>
              <w:spacing w:line="320" w:lineRule="exact"/>
              <w:jc w:val="center"/>
              <w:rPr>
                <w:color w:val="000000" w:themeColor="text1"/>
                <w:sz w:val="28"/>
                <w:szCs w:val="28"/>
              </w:rPr>
            </w:pPr>
            <w:r w:rsidRPr="00E93C5E">
              <w:rPr>
                <w:color w:val="000000" w:themeColor="text1"/>
                <w:sz w:val="28"/>
                <w:szCs w:val="28"/>
              </w:rPr>
              <w:t>T</w:t>
            </w:r>
            <w:r w:rsidRPr="00E93C5E">
              <w:rPr>
                <w:color w:val="000000" w:themeColor="text1"/>
                <w:sz w:val="28"/>
                <w:szCs w:val="28"/>
                <w:vertAlign w:val="subscript"/>
              </w:rPr>
              <w:t>đ</w:t>
            </w:r>
            <w:r w:rsidRPr="00E93C5E">
              <w:rPr>
                <w:color w:val="000000" w:themeColor="text1"/>
                <w:sz w:val="28"/>
                <w:szCs w:val="28"/>
              </w:rPr>
              <w:t xml:space="preserve"> x0,1</w:t>
            </w:r>
          </w:p>
        </w:tc>
      </w:tr>
      <w:tr w:rsidR="00521B55" w:rsidRPr="00E93C5E" w:rsidTr="00521B55">
        <w:tc>
          <w:tcPr>
            <w:tcW w:w="1543" w:type="dxa"/>
            <w:vMerge/>
          </w:tcPr>
          <w:p w:rsidR="00521B55" w:rsidRPr="00E93C5E" w:rsidRDefault="00521B55" w:rsidP="00521B55">
            <w:pPr>
              <w:spacing w:line="320" w:lineRule="exact"/>
              <w:rPr>
                <w:color w:val="000000" w:themeColor="text1"/>
                <w:sz w:val="28"/>
                <w:szCs w:val="28"/>
              </w:rPr>
            </w:pPr>
          </w:p>
        </w:tc>
        <w:tc>
          <w:tcPr>
            <w:tcW w:w="1559" w:type="dxa"/>
            <w:tcBorders>
              <w:top w:val="single" w:sz="4" w:space="0" w:color="auto"/>
            </w:tcBorders>
          </w:tcPr>
          <w:p w:rsidR="00521B55" w:rsidRPr="00E93C5E" w:rsidRDefault="00521B55" w:rsidP="00521B55">
            <w:pPr>
              <w:spacing w:line="320" w:lineRule="exact"/>
              <w:jc w:val="center"/>
              <w:rPr>
                <w:color w:val="000000" w:themeColor="text1"/>
                <w:sz w:val="28"/>
                <w:szCs w:val="28"/>
              </w:rPr>
            </w:pPr>
            <w:r w:rsidRPr="00E93C5E">
              <w:rPr>
                <w:color w:val="000000" w:themeColor="text1"/>
                <w:sz w:val="28"/>
                <w:szCs w:val="28"/>
              </w:rPr>
              <w:t>S</w:t>
            </w:r>
            <w:r w:rsidRPr="00E93C5E">
              <w:rPr>
                <w:color w:val="000000" w:themeColor="text1"/>
                <w:sz w:val="28"/>
                <w:szCs w:val="28"/>
                <w:vertAlign w:val="subscript"/>
              </w:rPr>
              <w:t>t</w:t>
            </w:r>
            <w:r w:rsidRPr="00E93C5E">
              <w:rPr>
                <w:color w:val="000000" w:themeColor="text1"/>
                <w:sz w:val="28"/>
                <w:szCs w:val="28"/>
              </w:rPr>
              <w:t xml:space="preserve"> (20x12)</w:t>
            </w:r>
          </w:p>
        </w:tc>
      </w:tr>
    </w:tbl>
    <w:p w:rsidR="001E53FA" w:rsidRDefault="007875B1" w:rsidP="00DA6BF3">
      <w:pPr>
        <w:spacing w:before="120" w:after="120" w:line="288" w:lineRule="auto"/>
        <w:rPr>
          <w:color w:val="000000" w:themeColor="text1"/>
          <w:sz w:val="28"/>
          <w:szCs w:val="28"/>
        </w:rPr>
      </w:pPr>
      <w:r>
        <w:rPr>
          <w:color w:val="000000" w:themeColor="text1"/>
          <w:sz w:val="28"/>
          <w:szCs w:val="28"/>
        </w:rPr>
        <w:tab/>
      </w:r>
      <w:r w:rsidR="00E86465" w:rsidRPr="00E93C5E">
        <w:rPr>
          <w:color w:val="000000" w:themeColor="text1"/>
          <w:sz w:val="28"/>
          <w:szCs w:val="28"/>
        </w:rPr>
        <w:t xml:space="preserve">K: </w:t>
      </w:r>
      <w:r w:rsidR="00521B55">
        <w:rPr>
          <w:color w:val="000000" w:themeColor="text1"/>
          <w:sz w:val="28"/>
          <w:szCs w:val="28"/>
        </w:rPr>
        <w:t>T</w:t>
      </w:r>
      <w:r w:rsidR="00E86465" w:rsidRPr="00E93C5E">
        <w:rPr>
          <w:color w:val="000000" w:themeColor="text1"/>
          <w:sz w:val="28"/>
          <w:szCs w:val="28"/>
        </w:rPr>
        <w:t>ính bằng 1; Thuế giá trị gia tăng tính 10%</w:t>
      </w:r>
    </w:p>
    <w:p w:rsidR="007875B1" w:rsidRPr="007875B1" w:rsidRDefault="007875B1" w:rsidP="00DA6BF3">
      <w:pPr>
        <w:spacing w:before="120" w:after="120" w:line="288" w:lineRule="auto"/>
        <w:rPr>
          <w:b/>
          <w:color w:val="000000" w:themeColor="text1"/>
          <w:sz w:val="28"/>
          <w:szCs w:val="28"/>
        </w:rPr>
      </w:pPr>
      <w:r>
        <w:rPr>
          <w:color w:val="000000" w:themeColor="text1"/>
          <w:sz w:val="28"/>
          <w:szCs w:val="28"/>
        </w:rPr>
        <w:tab/>
        <w:t xml:space="preserve">Áp dung Suất vốn đầu tư ban hành kèm theo Quyết định số 510/QĐ-BXD ngày 19/5/2023 của </w:t>
      </w:r>
      <w:r w:rsidRPr="007875B1">
        <w:rPr>
          <w:color w:val="000000" w:themeColor="text1"/>
          <w:sz w:val="28"/>
          <w:szCs w:val="28"/>
        </w:rPr>
        <w:t>Bộ Xây dựng</w:t>
      </w:r>
    </w:p>
    <w:p w:rsidR="007875B1" w:rsidRPr="00E93C5E" w:rsidRDefault="007875B1" w:rsidP="00DA6BF3">
      <w:pPr>
        <w:spacing w:before="120" w:after="120" w:line="288" w:lineRule="auto"/>
        <w:rPr>
          <w:color w:val="000000" w:themeColor="text1"/>
          <w:sz w:val="28"/>
          <w:szCs w:val="28"/>
        </w:rPr>
      </w:pPr>
      <w:r>
        <w:rPr>
          <w:color w:val="000000" w:themeColor="text1"/>
          <w:sz w:val="28"/>
          <w:szCs w:val="28"/>
        </w:rPr>
        <w:tab/>
        <w:t xml:space="preserve">Hệ số điều chỉnh vùng áp dụng cho suất vốn đầu tư xây dựng nhà ở xã hội trên địa bàn tỉnh </w:t>
      </w:r>
      <w:r w:rsidR="00DA6BF3">
        <w:rPr>
          <w:color w:val="000000" w:themeColor="text1"/>
          <w:sz w:val="28"/>
          <w:szCs w:val="28"/>
        </w:rPr>
        <w:t>Nam Định</w:t>
      </w:r>
      <w:r>
        <w:rPr>
          <w:color w:val="000000" w:themeColor="text1"/>
          <w:sz w:val="28"/>
          <w:szCs w:val="28"/>
        </w:rPr>
        <w:t xml:space="preserve"> (vùng 2) là 0,962 (Quyết định số 510/QĐ-BXD ngày 19/5/2023 của </w:t>
      </w:r>
      <w:r w:rsidRPr="007875B1">
        <w:rPr>
          <w:color w:val="000000" w:themeColor="text1"/>
          <w:sz w:val="28"/>
          <w:szCs w:val="28"/>
        </w:rPr>
        <w:t>Bộ Xây dựng</w:t>
      </w:r>
      <w:r>
        <w:rPr>
          <w:color w:val="000000" w:themeColor="text1"/>
          <w:sz w:val="28"/>
          <w:szCs w:val="28"/>
        </w:rPr>
        <w:t>)</w:t>
      </w:r>
    </w:p>
    <w:p w:rsidR="00763C3E" w:rsidRPr="00763C3E" w:rsidRDefault="00E86465" w:rsidP="00521B55">
      <w:pPr>
        <w:spacing w:before="100" w:line="320" w:lineRule="exact"/>
        <w:rPr>
          <w:b/>
          <w:color w:val="000000" w:themeColor="text1"/>
          <w:sz w:val="28"/>
          <w:szCs w:val="28"/>
        </w:rPr>
      </w:pPr>
      <w:r w:rsidRPr="00E93C5E">
        <w:rPr>
          <w:color w:val="000000" w:themeColor="text1"/>
          <w:sz w:val="28"/>
          <w:szCs w:val="28"/>
        </w:rPr>
        <w:tab/>
      </w:r>
      <w:r w:rsidR="00763C3E" w:rsidRPr="00763C3E">
        <w:rPr>
          <w:b/>
          <w:color w:val="000000" w:themeColor="text1"/>
          <w:sz w:val="28"/>
          <w:szCs w:val="28"/>
        </w:rPr>
        <w:t>3. Tính toán giá thuê tối đa cho các dạng nhà:</w:t>
      </w:r>
    </w:p>
    <w:p w:rsidR="00763C3E" w:rsidRPr="001E2370" w:rsidRDefault="00763C3E" w:rsidP="00521B55">
      <w:pPr>
        <w:spacing w:before="100" w:line="320" w:lineRule="exact"/>
        <w:rPr>
          <w:b/>
          <w:color w:val="000000" w:themeColor="text1"/>
          <w:sz w:val="28"/>
          <w:szCs w:val="28"/>
        </w:rPr>
      </w:pPr>
      <w:r w:rsidRPr="00763C3E">
        <w:rPr>
          <w:b/>
          <w:color w:val="000000" w:themeColor="text1"/>
          <w:sz w:val="28"/>
          <w:szCs w:val="28"/>
        </w:rPr>
        <w:tab/>
      </w:r>
      <w:r w:rsidR="00AE5ED4" w:rsidRPr="001E2370">
        <w:rPr>
          <w:b/>
          <w:color w:val="000000" w:themeColor="text1"/>
          <w:sz w:val="28"/>
          <w:szCs w:val="28"/>
        </w:rPr>
        <w:t>*</w:t>
      </w:r>
      <w:r w:rsidRPr="001E2370">
        <w:rPr>
          <w:b/>
          <w:color w:val="000000" w:themeColor="text1"/>
          <w:sz w:val="28"/>
          <w:szCs w:val="28"/>
        </w:rPr>
        <w:t xml:space="preserve"> </w:t>
      </w:r>
      <w:r w:rsidR="00AE5ED4" w:rsidRPr="001E2370">
        <w:rPr>
          <w:b/>
          <w:color w:val="000000" w:themeColor="text1"/>
          <w:sz w:val="28"/>
          <w:szCs w:val="28"/>
        </w:rPr>
        <w:t xml:space="preserve">Loại hình nhà ở xã hội dạng chung cư: Số tầng ≤ 5 có </w:t>
      </w:r>
      <w:r w:rsidR="0094438F" w:rsidRPr="001E2370">
        <w:rPr>
          <w:b/>
          <w:color w:val="000000" w:themeColor="text1"/>
          <w:sz w:val="28"/>
          <w:szCs w:val="28"/>
        </w:rPr>
        <w:t xml:space="preserve">1 </w:t>
      </w:r>
      <w:r w:rsidR="00AE5ED4" w:rsidRPr="001E2370">
        <w:rPr>
          <w:b/>
          <w:color w:val="000000" w:themeColor="text1"/>
          <w:sz w:val="28"/>
          <w:szCs w:val="28"/>
        </w:rPr>
        <w:t>tầng hầm</w:t>
      </w:r>
    </w:p>
    <w:p w:rsidR="00E86465" w:rsidRPr="001E2370" w:rsidRDefault="00E86465" w:rsidP="00521B55">
      <w:pPr>
        <w:spacing w:before="100" w:line="320" w:lineRule="exact"/>
        <w:rPr>
          <w:color w:val="000000" w:themeColor="text1"/>
          <w:sz w:val="28"/>
          <w:szCs w:val="28"/>
        </w:rPr>
      </w:pPr>
      <w:r w:rsidRPr="001E2370">
        <w:rPr>
          <w:color w:val="000000" w:themeColor="text1"/>
          <w:sz w:val="28"/>
          <w:szCs w:val="28"/>
        </w:rPr>
        <w:tab/>
        <w:t>Suất vốn đầu tư xây dựng 1m</w:t>
      </w:r>
      <w:r w:rsidRPr="001E2370">
        <w:rPr>
          <w:color w:val="000000" w:themeColor="text1"/>
          <w:sz w:val="28"/>
          <w:szCs w:val="28"/>
          <w:vertAlign w:val="superscript"/>
        </w:rPr>
        <w:t>2</w:t>
      </w:r>
      <w:r w:rsidRPr="001E2370">
        <w:rPr>
          <w:color w:val="000000" w:themeColor="text1"/>
          <w:sz w:val="28"/>
          <w:szCs w:val="28"/>
        </w:rPr>
        <w:t xml:space="preserve"> là: </w:t>
      </w:r>
      <w:r w:rsidR="00613DC2" w:rsidRPr="001E2370">
        <w:rPr>
          <w:color w:val="000000" w:themeColor="text1"/>
          <w:sz w:val="28"/>
          <w:szCs w:val="28"/>
        </w:rPr>
        <w:t>6.</w:t>
      </w:r>
      <w:r w:rsidR="00763C3E" w:rsidRPr="001E2370">
        <w:rPr>
          <w:color w:val="000000" w:themeColor="text1"/>
          <w:sz w:val="28"/>
          <w:szCs w:val="28"/>
        </w:rPr>
        <w:t>560</w:t>
      </w:r>
      <w:r w:rsidRPr="001E2370">
        <w:rPr>
          <w:color w:val="000000" w:themeColor="text1"/>
          <w:sz w:val="28"/>
          <w:szCs w:val="28"/>
        </w:rPr>
        <w:t>.000 đồng (đã bao gồm thuế VAT)</w:t>
      </w:r>
    </w:p>
    <w:p w:rsidR="00B51CAF" w:rsidRPr="001E2370" w:rsidRDefault="00E86465" w:rsidP="00521B55">
      <w:pPr>
        <w:spacing w:before="100" w:line="320" w:lineRule="exact"/>
        <w:rPr>
          <w:color w:val="000000" w:themeColor="text1"/>
          <w:sz w:val="28"/>
          <w:szCs w:val="28"/>
        </w:rPr>
      </w:pPr>
      <w:r w:rsidRPr="001E2370">
        <w:rPr>
          <w:color w:val="000000" w:themeColor="text1"/>
          <w:sz w:val="28"/>
          <w:szCs w:val="28"/>
        </w:rPr>
        <w:tab/>
        <w:t>Suất vốn đầu tư xây dựng 1m</w:t>
      </w:r>
      <w:r w:rsidRPr="001E2370">
        <w:rPr>
          <w:color w:val="000000" w:themeColor="text1"/>
          <w:sz w:val="28"/>
          <w:szCs w:val="28"/>
          <w:vertAlign w:val="superscript"/>
        </w:rPr>
        <w:t>2</w:t>
      </w:r>
      <w:r w:rsidRPr="001E2370">
        <w:rPr>
          <w:color w:val="000000" w:themeColor="text1"/>
          <w:sz w:val="28"/>
          <w:szCs w:val="28"/>
        </w:rPr>
        <w:t xml:space="preserve"> trước thuế là: </w:t>
      </w:r>
      <w:r w:rsidR="00763C3E" w:rsidRPr="001E2370">
        <w:rPr>
          <w:color w:val="000000" w:themeColor="text1"/>
          <w:sz w:val="28"/>
          <w:szCs w:val="28"/>
        </w:rPr>
        <w:t>5.963.636</w:t>
      </w:r>
      <w:r w:rsidRPr="001E2370">
        <w:rPr>
          <w:color w:val="000000" w:themeColor="text1"/>
          <w:sz w:val="28"/>
          <w:szCs w:val="28"/>
        </w:rPr>
        <w:t xml:space="preserve"> </w:t>
      </w:r>
      <w:r w:rsidR="00754BD0" w:rsidRPr="001E2370">
        <w:rPr>
          <w:color w:val="000000" w:themeColor="text1"/>
          <w:sz w:val="28"/>
          <w:szCs w:val="28"/>
        </w:rPr>
        <w:t xml:space="preserve"> </w:t>
      </w:r>
      <w:r w:rsidRPr="001E2370">
        <w:rPr>
          <w:color w:val="000000" w:themeColor="text1"/>
          <w:sz w:val="28"/>
          <w:szCs w:val="28"/>
        </w:rPr>
        <w:t xml:space="preserve">đồng </w:t>
      </w:r>
    </w:p>
    <w:p w:rsidR="007166D6" w:rsidRPr="001E2370" w:rsidRDefault="00BB0C8D" w:rsidP="007166D6">
      <w:pPr>
        <w:spacing w:line="320" w:lineRule="exact"/>
        <w:rPr>
          <w:color w:val="000000" w:themeColor="text1"/>
          <w:sz w:val="28"/>
          <w:szCs w:val="28"/>
        </w:rPr>
      </w:pPr>
      <w:r w:rsidRPr="001E2370">
        <w:rPr>
          <w:color w:val="000000" w:themeColor="text1"/>
          <w:sz w:val="28"/>
          <w:szCs w:val="28"/>
        </w:rPr>
        <w:t xml:space="preserve">                   </w:t>
      </w:r>
      <w:r w:rsidR="007166D6" w:rsidRPr="001E2370">
        <w:rPr>
          <w:color w:val="000000" w:themeColor="text1"/>
          <w:sz w:val="28"/>
          <w:szCs w:val="28"/>
        </w:rPr>
        <w:t>Chi phí khác</w:t>
      </w:r>
      <w:r w:rsidR="00102139">
        <w:rPr>
          <w:color w:val="000000" w:themeColor="text1"/>
          <w:sz w:val="28"/>
          <w:szCs w:val="28"/>
        </w:rPr>
        <w:t xml:space="preserve"> </w:t>
      </w:r>
      <w:r w:rsidR="007166D6" w:rsidRPr="001E2370">
        <w:rPr>
          <w:color w:val="000000" w:themeColor="text1"/>
          <w:sz w:val="28"/>
          <w:szCs w:val="28"/>
        </w:rPr>
        <w:t>= 5.963.636x0,962x0,02=114.</w:t>
      </w:r>
      <w:r w:rsidR="00102139">
        <w:rPr>
          <w:color w:val="000000" w:themeColor="text1"/>
          <w:sz w:val="28"/>
          <w:szCs w:val="28"/>
        </w:rPr>
        <w:t>74</w:t>
      </w:r>
      <w:r w:rsidR="007166D6" w:rsidRPr="001E2370">
        <w:rPr>
          <w:color w:val="000000" w:themeColor="text1"/>
          <w:sz w:val="28"/>
          <w:szCs w:val="28"/>
        </w:rPr>
        <w:t>0</w:t>
      </w:r>
      <w:r w:rsidR="00102139">
        <w:rPr>
          <w:color w:val="000000" w:themeColor="text1"/>
          <w:sz w:val="28"/>
          <w:szCs w:val="28"/>
        </w:rPr>
        <w:t xml:space="preserve"> đồng</w:t>
      </w:r>
    </w:p>
    <w:p w:rsidR="007166D6" w:rsidRPr="001E2370" w:rsidRDefault="007166D6" w:rsidP="007166D6">
      <w:pPr>
        <w:spacing w:before="100" w:line="320" w:lineRule="exact"/>
        <w:rPr>
          <w:color w:val="000000" w:themeColor="text1"/>
          <w:sz w:val="28"/>
          <w:szCs w:val="28"/>
        </w:rPr>
      </w:pPr>
      <w:r w:rsidRPr="001E2370">
        <w:rPr>
          <w:color w:val="000000" w:themeColor="text1"/>
          <w:sz w:val="28"/>
          <w:szCs w:val="28"/>
        </w:rPr>
        <w:t xml:space="preserve">                 </w:t>
      </w:r>
      <w:r w:rsidR="00BB0C8D" w:rsidRPr="001E2370">
        <w:rPr>
          <w:color w:val="000000" w:themeColor="text1"/>
          <w:sz w:val="28"/>
          <w:szCs w:val="28"/>
        </w:rPr>
        <w:t xml:space="preserve"> </w:t>
      </w:r>
      <w:r w:rsidRPr="001E2370">
        <w:rPr>
          <w:color w:val="000000" w:themeColor="text1"/>
          <w:sz w:val="28"/>
          <w:szCs w:val="28"/>
        </w:rPr>
        <w:t xml:space="preserve"> Tđ= (5.963.636x0,962x1)+114.970=5.851.</w:t>
      </w:r>
      <w:r w:rsidR="00102139">
        <w:rPr>
          <w:color w:val="000000" w:themeColor="text1"/>
          <w:sz w:val="28"/>
          <w:szCs w:val="28"/>
        </w:rPr>
        <w:t>758 đồng</w:t>
      </w:r>
    </w:p>
    <w:p w:rsidR="00E86465" w:rsidRPr="001E2370" w:rsidRDefault="00E86465" w:rsidP="00521B55">
      <w:pPr>
        <w:spacing w:line="320" w:lineRule="exact"/>
        <w:rPr>
          <w:color w:val="000000" w:themeColor="text1"/>
          <w:sz w:val="28"/>
          <w:szCs w:val="28"/>
        </w:rPr>
      </w:pPr>
    </w:p>
    <w:tbl>
      <w:tblPr>
        <w:tblStyle w:val="TableGrid"/>
        <w:tblW w:w="0" w:type="auto"/>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3"/>
        <w:gridCol w:w="1559"/>
        <w:gridCol w:w="1559"/>
      </w:tblGrid>
      <w:tr w:rsidR="00EB02A3" w:rsidRPr="001E2370" w:rsidTr="00EB02A3">
        <w:tc>
          <w:tcPr>
            <w:tcW w:w="1543" w:type="dxa"/>
            <w:vMerge w:val="restart"/>
            <w:vAlign w:val="center"/>
          </w:tcPr>
          <w:p w:rsidR="00EB02A3" w:rsidRPr="001E2370" w:rsidRDefault="00BB0C8D" w:rsidP="00BB0C8D">
            <w:pPr>
              <w:spacing w:line="320" w:lineRule="exact"/>
              <w:rPr>
                <w:color w:val="000000" w:themeColor="text1"/>
                <w:sz w:val="28"/>
                <w:szCs w:val="28"/>
              </w:rPr>
            </w:pPr>
            <w:r w:rsidRPr="001E2370">
              <w:rPr>
                <w:color w:val="000000" w:themeColor="text1"/>
                <w:sz w:val="28"/>
                <w:szCs w:val="28"/>
              </w:rPr>
              <w:t xml:space="preserve">     </w:t>
            </w:r>
            <w:r w:rsidR="00EB02A3" w:rsidRPr="001E2370">
              <w:rPr>
                <w:color w:val="000000" w:themeColor="text1"/>
                <w:sz w:val="28"/>
                <w:szCs w:val="28"/>
              </w:rPr>
              <w:t>L=</w:t>
            </w:r>
          </w:p>
        </w:tc>
        <w:tc>
          <w:tcPr>
            <w:tcW w:w="1559" w:type="dxa"/>
            <w:tcBorders>
              <w:bottom w:val="single" w:sz="4" w:space="0" w:color="auto"/>
            </w:tcBorders>
          </w:tcPr>
          <w:p w:rsidR="00EB02A3" w:rsidRPr="001E2370" w:rsidRDefault="00EB02A3" w:rsidP="00521B55">
            <w:pPr>
              <w:spacing w:line="320" w:lineRule="exact"/>
              <w:jc w:val="center"/>
              <w:rPr>
                <w:color w:val="000000" w:themeColor="text1"/>
                <w:sz w:val="28"/>
                <w:szCs w:val="28"/>
              </w:rPr>
            </w:pPr>
            <w:r w:rsidRPr="001E2370">
              <w:rPr>
                <w:color w:val="000000" w:themeColor="text1"/>
                <w:sz w:val="28"/>
                <w:szCs w:val="28"/>
              </w:rPr>
              <w:t>T</w:t>
            </w:r>
            <w:r w:rsidRPr="001E2370">
              <w:rPr>
                <w:color w:val="000000" w:themeColor="text1"/>
                <w:sz w:val="28"/>
                <w:szCs w:val="28"/>
                <w:vertAlign w:val="subscript"/>
              </w:rPr>
              <w:t>đ</w:t>
            </w:r>
            <w:r w:rsidRPr="001E2370">
              <w:rPr>
                <w:color w:val="000000" w:themeColor="text1"/>
                <w:sz w:val="28"/>
                <w:szCs w:val="28"/>
              </w:rPr>
              <w:t xml:space="preserve"> x0,1</w:t>
            </w:r>
          </w:p>
        </w:tc>
        <w:tc>
          <w:tcPr>
            <w:tcW w:w="1559" w:type="dxa"/>
            <w:vMerge w:val="restart"/>
            <w:vAlign w:val="center"/>
          </w:tcPr>
          <w:p w:rsidR="00EB02A3" w:rsidRPr="001E2370" w:rsidRDefault="00EB02A3" w:rsidP="00521B55">
            <w:pPr>
              <w:spacing w:line="320" w:lineRule="exact"/>
              <w:rPr>
                <w:color w:val="000000" w:themeColor="text1"/>
                <w:sz w:val="28"/>
                <w:szCs w:val="28"/>
              </w:rPr>
            </w:pPr>
          </w:p>
        </w:tc>
      </w:tr>
      <w:tr w:rsidR="00EB02A3" w:rsidRPr="001E2370" w:rsidTr="00EB02A3">
        <w:tc>
          <w:tcPr>
            <w:tcW w:w="1543" w:type="dxa"/>
            <w:vMerge/>
          </w:tcPr>
          <w:p w:rsidR="00EB02A3" w:rsidRPr="001E2370" w:rsidRDefault="00EB02A3" w:rsidP="00521B55">
            <w:pPr>
              <w:spacing w:line="320" w:lineRule="exact"/>
              <w:rPr>
                <w:color w:val="000000" w:themeColor="text1"/>
                <w:sz w:val="28"/>
                <w:szCs w:val="28"/>
              </w:rPr>
            </w:pPr>
          </w:p>
        </w:tc>
        <w:tc>
          <w:tcPr>
            <w:tcW w:w="1559" w:type="dxa"/>
            <w:tcBorders>
              <w:top w:val="single" w:sz="4" w:space="0" w:color="auto"/>
            </w:tcBorders>
          </w:tcPr>
          <w:p w:rsidR="00EB02A3" w:rsidRPr="001E2370" w:rsidRDefault="00EB02A3" w:rsidP="00521B55">
            <w:pPr>
              <w:spacing w:line="320" w:lineRule="exact"/>
              <w:jc w:val="center"/>
              <w:rPr>
                <w:color w:val="000000" w:themeColor="text1"/>
                <w:sz w:val="28"/>
                <w:szCs w:val="28"/>
              </w:rPr>
            </w:pPr>
            <w:r w:rsidRPr="001E2370">
              <w:rPr>
                <w:color w:val="000000" w:themeColor="text1"/>
                <w:sz w:val="28"/>
                <w:szCs w:val="28"/>
              </w:rPr>
              <w:t>S</w:t>
            </w:r>
            <w:r w:rsidRPr="001E2370">
              <w:rPr>
                <w:color w:val="000000" w:themeColor="text1"/>
                <w:sz w:val="28"/>
                <w:szCs w:val="28"/>
                <w:vertAlign w:val="subscript"/>
              </w:rPr>
              <w:t>t</w:t>
            </w:r>
            <w:r w:rsidRPr="001E2370">
              <w:rPr>
                <w:color w:val="000000" w:themeColor="text1"/>
                <w:sz w:val="28"/>
                <w:szCs w:val="28"/>
              </w:rPr>
              <w:t xml:space="preserve"> (20x12)</w:t>
            </w:r>
          </w:p>
        </w:tc>
        <w:tc>
          <w:tcPr>
            <w:tcW w:w="1559" w:type="dxa"/>
            <w:vMerge/>
          </w:tcPr>
          <w:p w:rsidR="00EB02A3" w:rsidRPr="001E2370" w:rsidRDefault="00EB02A3" w:rsidP="00521B55">
            <w:pPr>
              <w:spacing w:line="320" w:lineRule="exact"/>
              <w:jc w:val="center"/>
              <w:rPr>
                <w:color w:val="000000" w:themeColor="text1"/>
                <w:sz w:val="28"/>
                <w:szCs w:val="28"/>
              </w:rPr>
            </w:pPr>
          </w:p>
        </w:tc>
      </w:tr>
    </w:tbl>
    <w:p w:rsidR="0068305E" w:rsidRPr="001E2370" w:rsidRDefault="007166D6" w:rsidP="00521B55">
      <w:pPr>
        <w:spacing w:line="320" w:lineRule="exact"/>
        <w:rPr>
          <w:color w:val="000000" w:themeColor="text1"/>
          <w:sz w:val="28"/>
          <w:szCs w:val="28"/>
        </w:rPr>
      </w:pPr>
      <w:r w:rsidRPr="001E2370">
        <w:rPr>
          <w:color w:val="000000" w:themeColor="text1"/>
          <w:sz w:val="28"/>
          <w:szCs w:val="28"/>
        </w:rPr>
        <w:tab/>
      </w:r>
    </w:p>
    <w:tbl>
      <w:tblPr>
        <w:tblStyle w:val="TableGrid"/>
        <w:tblW w:w="0" w:type="auto"/>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4"/>
        <w:gridCol w:w="3686"/>
        <w:gridCol w:w="706"/>
        <w:gridCol w:w="374"/>
        <w:gridCol w:w="2352"/>
      </w:tblGrid>
      <w:tr w:rsidR="00EB02A3" w:rsidRPr="001E2370" w:rsidTr="00DE0E07">
        <w:tc>
          <w:tcPr>
            <w:tcW w:w="834" w:type="dxa"/>
            <w:vMerge w:val="restart"/>
            <w:vAlign w:val="center"/>
          </w:tcPr>
          <w:p w:rsidR="00EB02A3" w:rsidRPr="001E2370" w:rsidRDefault="00EB02A3" w:rsidP="00521B55">
            <w:pPr>
              <w:spacing w:line="320" w:lineRule="exact"/>
              <w:jc w:val="right"/>
              <w:rPr>
                <w:color w:val="000000" w:themeColor="text1"/>
                <w:sz w:val="28"/>
                <w:szCs w:val="28"/>
              </w:rPr>
            </w:pPr>
            <w:r w:rsidRPr="001E2370">
              <w:rPr>
                <w:color w:val="000000" w:themeColor="text1"/>
                <w:sz w:val="28"/>
                <w:szCs w:val="28"/>
              </w:rPr>
              <w:t>L=</w:t>
            </w:r>
          </w:p>
        </w:tc>
        <w:tc>
          <w:tcPr>
            <w:tcW w:w="3686" w:type="dxa"/>
            <w:tcBorders>
              <w:bottom w:val="single" w:sz="4" w:space="0" w:color="auto"/>
            </w:tcBorders>
          </w:tcPr>
          <w:p w:rsidR="00EB02A3" w:rsidRPr="001E2370" w:rsidRDefault="007166D6" w:rsidP="00102139">
            <w:pPr>
              <w:spacing w:line="320" w:lineRule="exact"/>
              <w:jc w:val="center"/>
              <w:rPr>
                <w:color w:val="000000" w:themeColor="text1"/>
                <w:sz w:val="28"/>
                <w:szCs w:val="28"/>
              </w:rPr>
            </w:pPr>
            <w:r w:rsidRPr="001E2370">
              <w:rPr>
                <w:color w:val="000000" w:themeColor="text1"/>
                <w:sz w:val="28"/>
                <w:szCs w:val="28"/>
              </w:rPr>
              <w:t>5.851.</w:t>
            </w:r>
            <w:r w:rsidR="00102139">
              <w:rPr>
                <w:color w:val="000000" w:themeColor="text1"/>
                <w:sz w:val="28"/>
                <w:szCs w:val="28"/>
              </w:rPr>
              <w:t>758</w:t>
            </w:r>
            <w:r w:rsidR="00763C3E" w:rsidRPr="001E2370">
              <w:rPr>
                <w:color w:val="000000" w:themeColor="text1"/>
                <w:sz w:val="28"/>
                <w:szCs w:val="28"/>
              </w:rPr>
              <w:t>x0,1</w:t>
            </w:r>
          </w:p>
        </w:tc>
        <w:tc>
          <w:tcPr>
            <w:tcW w:w="706" w:type="dxa"/>
            <w:vMerge w:val="restart"/>
            <w:vAlign w:val="center"/>
          </w:tcPr>
          <w:p w:rsidR="00EB02A3" w:rsidRPr="001E2370" w:rsidRDefault="00EB02A3" w:rsidP="00521B55">
            <w:pPr>
              <w:spacing w:line="320" w:lineRule="exact"/>
              <w:jc w:val="center"/>
              <w:rPr>
                <w:color w:val="000000" w:themeColor="text1"/>
                <w:sz w:val="28"/>
                <w:szCs w:val="28"/>
              </w:rPr>
            </w:pPr>
          </w:p>
        </w:tc>
        <w:tc>
          <w:tcPr>
            <w:tcW w:w="374" w:type="dxa"/>
            <w:vMerge w:val="restart"/>
            <w:vAlign w:val="center"/>
          </w:tcPr>
          <w:p w:rsidR="00EB02A3" w:rsidRPr="001E2370" w:rsidRDefault="00EB02A3" w:rsidP="00521B55">
            <w:pPr>
              <w:spacing w:line="320" w:lineRule="exact"/>
              <w:jc w:val="center"/>
              <w:rPr>
                <w:color w:val="000000" w:themeColor="text1"/>
                <w:sz w:val="28"/>
                <w:szCs w:val="28"/>
              </w:rPr>
            </w:pPr>
            <w:r w:rsidRPr="001E2370">
              <w:rPr>
                <w:color w:val="000000" w:themeColor="text1"/>
                <w:sz w:val="28"/>
                <w:szCs w:val="28"/>
              </w:rPr>
              <w:t>=</w:t>
            </w:r>
          </w:p>
        </w:tc>
        <w:tc>
          <w:tcPr>
            <w:tcW w:w="2352" w:type="dxa"/>
            <w:vMerge w:val="restart"/>
            <w:vAlign w:val="center"/>
          </w:tcPr>
          <w:p w:rsidR="00BB0C8D" w:rsidRPr="001E2370" w:rsidRDefault="007166D6" w:rsidP="00521B55">
            <w:pPr>
              <w:spacing w:line="320" w:lineRule="exact"/>
              <w:rPr>
                <w:color w:val="000000" w:themeColor="text1"/>
                <w:sz w:val="28"/>
                <w:szCs w:val="28"/>
              </w:rPr>
            </w:pPr>
            <w:r w:rsidRPr="001E2370">
              <w:rPr>
                <w:color w:val="000000" w:themeColor="text1"/>
                <w:sz w:val="28"/>
                <w:szCs w:val="28"/>
              </w:rPr>
              <w:t>2.438</w:t>
            </w:r>
            <w:r w:rsidR="006F2350" w:rsidRPr="001E2370">
              <w:rPr>
                <w:color w:val="000000" w:themeColor="text1"/>
                <w:sz w:val="28"/>
                <w:szCs w:val="28"/>
              </w:rPr>
              <w:t xml:space="preserve"> đồng</w:t>
            </w:r>
          </w:p>
        </w:tc>
      </w:tr>
      <w:tr w:rsidR="00EB02A3" w:rsidRPr="001E2370" w:rsidTr="00DE0E07">
        <w:tc>
          <w:tcPr>
            <w:tcW w:w="834" w:type="dxa"/>
            <w:vMerge/>
          </w:tcPr>
          <w:p w:rsidR="00EB02A3" w:rsidRPr="001E2370" w:rsidRDefault="00EB02A3" w:rsidP="00521B55">
            <w:pPr>
              <w:spacing w:line="320" w:lineRule="exact"/>
              <w:rPr>
                <w:color w:val="000000" w:themeColor="text1"/>
                <w:sz w:val="28"/>
                <w:szCs w:val="28"/>
              </w:rPr>
            </w:pPr>
          </w:p>
        </w:tc>
        <w:tc>
          <w:tcPr>
            <w:tcW w:w="3686" w:type="dxa"/>
            <w:tcBorders>
              <w:top w:val="single" w:sz="4" w:space="0" w:color="auto"/>
            </w:tcBorders>
          </w:tcPr>
          <w:p w:rsidR="00EB02A3" w:rsidRPr="001E2370" w:rsidRDefault="007166D6" w:rsidP="00521B55">
            <w:pPr>
              <w:spacing w:line="320" w:lineRule="exact"/>
              <w:jc w:val="center"/>
              <w:rPr>
                <w:color w:val="000000" w:themeColor="text1"/>
                <w:sz w:val="28"/>
                <w:szCs w:val="28"/>
              </w:rPr>
            </w:pPr>
            <w:r w:rsidRPr="001E2370">
              <w:rPr>
                <w:color w:val="000000" w:themeColor="text1"/>
                <w:sz w:val="28"/>
                <w:szCs w:val="28"/>
              </w:rPr>
              <w:t>1x(</w:t>
            </w:r>
            <w:r w:rsidR="00EB02A3" w:rsidRPr="001E2370">
              <w:rPr>
                <w:color w:val="000000" w:themeColor="text1"/>
                <w:sz w:val="28"/>
                <w:szCs w:val="28"/>
              </w:rPr>
              <w:t>20x12</w:t>
            </w:r>
            <w:r w:rsidRPr="001E2370">
              <w:rPr>
                <w:color w:val="000000" w:themeColor="text1"/>
                <w:sz w:val="28"/>
                <w:szCs w:val="28"/>
              </w:rPr>
              <w:t>)</w:t>
            </w:r>
          </w:p>
        </w:tc>
        <w:tc>
          <w:tcPr>
            <w:tcW w:w="706" w:type="dxa"/>
            <w:vMerge/>
          </w:tcPr>
          <w:p w:rsidR="00EB02A3" w:rsidRPr="001E2370" w:rsidRDefault="00EB02A3" w:rsidP="00521B55">
            <w:pPr>
              <w:spacing w:line="320" w:lineRule="exact"/>
              <w:jc w:val="center"/>
              <w:rPr>
                <w:color w:val="000000" w:themeColor="text1"/>
                <w:sz w:val="28"/>
                <w:szCs w:val="28"/>
              </w:rPr>
            </w:pPr>
          </w:p>
        </w:tc>
        <w:tc>
          <w:tcPr>
            <w:tcW w:w="374" w:type="dxa"/>
            <w:vMerge/>
          </w:tcPr>
          <w:p w:rsidR="00EB02A3" w:rsidRPr="001E2370" w:rsidRDefault="00EB02A3" w:rsidP="00521B55">
            <w:pPr>
              <w:spacing w:line="320" w:lineRule="exact"/>
              <w:jc w:val="center"/>
              <w:rPr>
                <w:color w:val="000000" w:themeColor="text1"/>
                <w:sz w:val="28"/>
                <w:szCs w:val="28"/>
              </w:rPr>
            </w:pPr>
          </w:p>
        </w:tc>
        <w:tc>
          <w:tcPr>
            <w:tcW w:w="2352" w:type="dxa"/>
            <w:vMerge/>
          </w:tcPr>
          <w:p w:rsidR="00EB02A3" w:rsidRPr="001E2370" w:rsidRDefault="00EB02A3" w:rsidP="00521B55">
            <w:pPr>
              <w:spacing w:line="320" w:lineRule="exact"/>
              <w:jc w:val="center"/>
              <w:rPr>
                <w:color w:val="000000" w:themeColor="text1"/>
                <w:sz w:val="28"/>
                <w:szCs w:val="28"/>
              </w:rPr>
            </w:pPr>
          </w:p>
        </w:tc>
      </w:tr>
    </w:tbl>
    <w:p w:rsidR="00BB0C8D" w:rsidRPr="001E2370" w:rsidRDefault="00BB0C8D" w:rsidP="006F2350">
      <w:pPr>
        <w:ind w:firstLine="720"/>
        <w:rPr>
          <w:color w:val="000000" w:themeColor="text1"/>
          <w:sz w:val="28"/>
          <w:szCs w:val="28"/>
        </w:rPr>
      </w:pPr>
    </w:p>
    <w:p w:rsidR="00BB0C8D" w:rsidRPr="001E2370" w:rsidRDefault="00BB0C8D" w:rsidP="006F2350">
      <w:pPr>
        <w:ind w:firstLine="720"/>
        <w:rPr>
          <w:color w:val="000000" w:themeColor="text1"/>
          <w:sz w:val="28"/>
          <w:szCs w:val="28"/>
        </w:rPr>
      </w:pPr>
    </w:p>
    <w:p w:rsidR="00BB0C8D" w:rsidRPr="001E2370" w:rsidRDefault="00040418" w:rsidP="009562EF">
      <w:pPr>
        <w:ind w:left="1134" w:hanging="567"/>
        <w:jc w:val="center"/>
        <w:rPr>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B</m:t>
              </m:r>
            </m:e>
            <m:sub>
              <m:r>
                <w:rPr>
                  <w:rFonts w:ascii="Cambria Math" w:hAnsi="Cambria Math"/>
                  <w:color w:val="000000" w:themeColor="text1"/>
                  <w:sz w:val="28"/>
                  <w:szCs w:val="28"/>
                </w:rPr>
                <m:t>t</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T</m:t>
              </m:r>
            </m:e>
            <m:sub>
              <m:r>
                <w:rPr>
                  <w:rFonts w:ascii="Cambria Math" w:hAnsi="Cambria Math"/>
                  <w:color w:val="000000" w:themeColor="text1"/>
                  <w:sz w:val="28"/>
                  <w:szCs w:val="28"/>
                </w:rPr>
                <m:t>đ</m:t>
              </m:r>
            </m:sub>
          </m:sSub>
          <m:r>
            <w:rPr>
              <w:rFonts w:ascii="Cambria Math" w:hAnsi="Cambria Math"/>
              <w:color w:val="000000" w:themeColor="text1"/>
              <w:sz w:val="28"/>
              <w:szCs w:val="28"/>
            </w:rPr>
            <m:t>x0,02=117.035</m:t>
          </m:r>
        </m:oMath>
      </m:oMathPara>
    </w:p>
    <w:p w:rsidR="009562EF" w:rsidRPr="001E2370" w:rsidRDefault="009562EF" w:rsidP="009562EF">
      <w:pPr>
        <w:ind w:left="1134" w:hanging="567"/>
        <w:jc w:val="center"/>
        <w:rPr>
          <w:color w:val="000000" w:themeColor="text1"/>
          <w:sz w:val="28"/>
          <w:szCs w:val="28"/>
        </w:rPr>
      </w:pPr>
    </w:p>
    <w:p w:rsidR="009562EF" w:rsidRPr="001E2370" w:rsidRDefault="00040418" w:rsidP="009562EF">
      <w:pPr>
        <w:ind w:left="1134"/>
        <w:rPr>
          <w:color w:val="000000" w:themeColor="text1"/>
          <w:sz w:val="28"/>
          <w:szCs w:val="28"/>
        </w:rPr>
      </w:pPr>
      <m:oMathPara>
        <m:oMathParaPr>
          <m:jc m:val="left"/>
        </m:oMathParaPr>
        <m:oMath>
          <m:sSub>
            <m:sSubPr>
              <m:ctrlPr>
                <w:rPr>
                  <w:rFonts w:ascii="Cambria Math" w:hAnsi="Cambria Math"/>
                  <w:noProof/>
                  <w:color w:val="000000" w:themeColor="text1"/>
                  <w:sz w:val="28"/>
                  <w:szCs w:val="28"/>
                </w:rPr>
              </m:ctrlPr>
            </m:sSubPr>
            <m:e>
              <m:r>
                <m:rPr>
                  <m:sty m:val="p"/>
                </m:rPr>
                <w:rPr>
                  <w:rFonts w:ascii="Cambria Math" w:hAnsi="Cambria Math"/>
                  <w:noProof/>
                  <w:color w:val="000000" w:themeColor="text1"/>
                  <w:sz w:val="28"/>
                  <w:szCs w:val="28"/>
                  <w:lang w:val="vi-VN"/>
                </w:rPr>
                <m:t>V</m:t>
              </m:r>
            </m:e>
            <m:sub>
              <m:r>
                <m:rPr>
                  <m:sty m:val="p"/>
                </m:rPr>
                <w:rPr>
                  <w:rFonts w:ascii="Cambria Math" w:hAnsi="Cambria Math"/>
                  <w:noProof/>
                  <w:color w:val="000000" w:themeColor="text1"/>
                  <w:sz w:val="28"/>
                  <w:szCs w:val="28"/>
                  <w:lang w:val="vi-VN"/>
                </w:rPr>
                <m:t>đ</m:t>
              </m:r>
            </m:sub>
          </m:sSub>
          <m:r>
            <m:rPr>
              <m:sty m:val="p"/>
            </m:rPr>
            <w:rPr>
              <w:rFonts w:ascii="Cambria Math" w:hAnsi="Cambria Math"/>
              <w:noProof/>
              <w:color w:val="000000" w:themeColor="text1"/>
              <w:sz w:val="28"/>
              <w:szCs w:val="28"/>
              <w:lang w:val="vi-VN"/>
            </w:rPr>
            <m:t>=</m:t>
          </m:r>
          <m:f>
            <m:fPr>
              <m:ctrlPr>
                <w:rPr>
                  <w:rFonts w:ascii="Cambria Math" w:hAnsi="Cambria Math"/>
                  <w:noProof/>
                  <w:color w:val="000000" w:themeColor="text1"/>
                  <w:sz w:val="28"/>
                  <w:szCs w:val="28"/>
                </w:rPr>
              </m:ctrlPr>
            </m:fPr>
            <m:num>
              <m:r>
                <m:rPr>
                  <m:sty m:val="p"/>
                </m:rPr>
                <w:rPr>
                  <w:rFonts w:ascii="Cambria Math" w:hAnsi="Cambria Math"/>
                  <w:noProof/>
                  <w:color w:val="000000" w:themeColor="text1"/>
                  <w:sz w:val="28"/>
                  <w:szCs w:val="28"/>
                </w:rPr>
                <m:t>5.851.758</m:t>
              </m:r>
              <m:r>
                <m:rPr>
                  <m:sty m:val="p"/>
                </m:rPr>
                <w:rPr>
                  <w:rFonts w:ascii="Cambria Math" w:hAnsi="Cambria Math"/>
                  <w:noProof/>
                  <w:color w:val="000000" w:themeColor="text1"/>
                  <w:sz w:val="28"/>
                  <w:szCs w:val="28"/>
                  <w:lang w:val="vi-VN"/>
                </w:rPr>
                <m:t>×0,087×(1+0,087</m:t>
              </m:r>
              <m:sSup>
                <m:sSupPr>
                  <m:ctrlPr>
                    <w:rPr>
                      <w:rFonts w:ascii="Cambria Math" w:hAnsi="Cambria Math"/>
                      <w:noProof/>
                      <w:color w:val="000000" w:themeColor="text1"/>
                      <w:sz w:val="28"/>
                      <w:szCs w:val="28"/>
                    </w:rPr>
                  </m:ctrlPr>
                </m:sSupPr>
                <m:e>
                  <m:r>
                    <m:rPr>
                      <m:sty m:val="p"/>
                    </m:rPr>
                    <w:rPr>
                      <w:rFonts w:ascii="Cambria Math" w:hAnsi="Cambria Math"/>
                      <w:noProof/>
                      <w:color w:val="000000" w:themeColor="text1"/>
                      <w:sz w:val="28"/>
                      <w:szCs w:val="28"/>
                      <w:lang w:val="vi-VN"/>
                    </w:rPr>
                    <m:t>)</m:t>
                  </m:r>
                </m:e>
                <m:sup>
                  <m:r>
                    <m:rPr>
                      <m:sty m:val="p"/>
                    </m:rPr>
                    <w:rPr>
                      <w:rFonts w:ascii="Cambria Math" w:hAnsi="Cambria Math"/>
                      <w:noProof/>
                      <w:color w:val="000000" w:themeColor="text1"/>
                      <w:sz w:val="28"/>
                      <w:szCs w:val="28"/>
                      <w:lang w:val="vi-VN"/>
                    </w:rPr>
                    <m:t>20</m:t>
                  </m:r>
                </m:sup>
              </m:sSup>
            </m:num>
            <m:den>
              <m:r>
                <m:rPr>
                  <m:sty m:val="p"/>
                </m:rPr>
                <w:rPr>
                  <w:rFonts w:ascii="Cambria Math" w:hAnsi="Cambria Math"/>
                  <w:noProof/>
                  <w:color w:val="000000" w:themeColor="text1"/>
                  <w:sz w:val="28"/>
                  <w:szCs w:val="28"/>
                  <w:lang w:val="vi-VN"/>
                </w:rPr>
                <m:t>(1+0,87</m:t>
              </m:r>
              <m:sSup>
                <m:sSupPr>
                  <m:ctrlPr>
                    <w:rPr>
                      <w:rFonts w:ascii="Cambria Math" w:hAnsi="Cambria Math"/>
                      <w:noProof/>
                      <w:color w:val="000000" w:themeColor="text1"/>
                      <w:sz w:val="28"/>
                      <w:szCs w:val="28"/>
                    </w:rPr>
                  </m:ctrlPr>
                </m:sSupPr>
                <m:e>
                  <m:r>
                    <m:rPr>
                      <m:sty m:val="p"/>
                    </m:rPr>
                    <w:rPr>
                      <w:rFonts w:ascii="Cambria Math" w:hAnsi="Cambria Math"/>
                      <w:noProof/>
                      <w:color w:val="000000" w:themeColor="text1"/>
                      <w:sz w:val="28"/>
                      <w:szCs w:val="28"/>
                      <w:lang w:val="vi-VN"/>
                    </w:rPr>
                    <m:t>)</m:t>
                  </m:r>
                </m:e>
                <m:sup>
                  <m:r>
                    <m:rPr>
                      <m:sty m:val="p"/>
                    </m:rPr>
                    <w:rPr>
                      <w:rFonts w:ascii="Cambria Math" w:hAnsi="Cambria Math"/>
                      <w:noProof/>
                      <w:color w:val="000000" w:themeColor="text1"/>
                      <w:sz w:val="28"/>
                      <w:szCs w:val="28"/>
                      <w:lang w:val="vi-VN"/>
                    </w:rPr>
                    <m:t>20</m:t>
                  </m:r>
                </m:sup>
              </m:sSup>
              <m:r>
                <m:rPr>
                  <m:sty m:val="p"/>
                </m:rPr>
                <w:rPr>
                  <w:rFonts w:ascii="Cambria Math" w:hAnsi="Cambria Math"/>
                  <w:noProof/>
                  <w:color w:val="000000" w:themeColor="text1"/>
                  <w:sz w:val="28"/>
                  <w:szCs w:val="28"/>
                  <w:lang w:val="vi-VN"/>
                </w:rPr>
                <m:t>-1</m:t>
              </m:r>
            </m:den>
          </m:f>
          <m:r>
            <w:rPr>
              <w:rFonts w:ascii="Cambria Math" w:hAnsi="Cambria Math"/>
              <w:noProof/>
              <w:color w:val="000000" w:themeColor="text1"/>
              <w:sz w:val="28"/>
              <w:szCs w:val="28"/>
            </w:rPr>
            <m:t>=627.393</m:t>
          </m:r>
        </m:oMath>
      </m:oMathPara>
    </w:p>
    <w:p w:rsidR="00E86465" w:rsidRPr="001E2370" w:rsidRDefault="006F2350" w:rsidP="006F2350">
      <w:pPr>
        <w:ind w:firstLine="720"/>
        <w:rPr>
          <w:color w:val="000000" w:themeColor="text1"/>
          <w:sz w:val="28"/>
          <w:szCs w:val="28"/>
        </w:rPr>
      </w:pPr>
      <w:r w:rsidRPr="001E2370">
        <w:rPr>
          <w:color w:val="000000" w:themeColor="text1"/>
          <w:sz w:val="28"/>
          <w:szCs w:val="28"/>
        </w:rPr>
        <w:t xml:space="preserve">- </w:t>
      </w:r>
      <w:r w:rsidR="009A1872" w:rsidRPr="001E2370">
        <w:rPr>
          <w:color w:val="000000" w:themeColor="text1"/>
          <w:sz w:val="28"/>
          <w:szCs w:val="28"/>
        </w:rPr>
        <w:t>Giá thuê nhà bao gồm chi phí bảo trì là:</w:t>
      </w:r>
    </w:p>
    <w:tbl>
      <w:tblPr>
        <w:tblW w:w="8141" w:type="dxa"/>
        <w:tblCellSpacing w:w="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717"/>
        <w:gridCol w:w="3455"/>
        <w:gridCol w:w="1995"/>
        <w:gridCol w:w="273"/>
        <w:gridCol w:w="1701"/>
      </w:tblGrid>
      <w:tr w:rsidR="00754BD0" w:rsidRPr="001E2370" w:rsidTr="009562EF">
        <w:trPr>
          <w:trHeight w:val="353"/>
          <w:tblCellSpacing w:w="0" w:type="dxa"/>
        </w:trPr>
        <w:tc>
          <w:tcPr>
            <w:tcW w:w="717" w:type="dxa"/>
            <w:vMerge w:val="restart"/>
            <w:shd w:val="clear" w:color="auto" w:fill="FFFFFF"/>
            <w:tcMar>
              <w:top w:w="0" w:type="dxa"/>
              <w:left w:w="108" w:type="dxa"/>
              <w:bottom w:w="0" w:type="dxa"/>
              <w:right w:w="108" w:type="dxa"/>
            </w:tcMar>
            <w:vAlign w:val="center"/>
            <w:hideMark/>
          </w:tcPr>
          <w:p w:rsidR="00754BD0" w:rsidRPr="001E2370" w:rsidRDefault="00754BD0" w:rsidP="009870FC">
            <w:pPr>
              <w:spacing w:before="120" w:after="120"/>
              <w:jc w:val="both"/>
              <w:rPr>
                <w:color w:val="000000" w:themeColor="text1"/>
                <w:sz w:val="28"/>
                <w:szCs w:val="28"/>
              </w:rPr>
            </w:pPr>
            <w:r w:rsidRPr="001E2370">
              <w:rPr>
                <w:color w:val="000000" w:themeColor="text1"/>
                <w:sz w:val="28"/>
                <w:szCs w:val="28"/>
              </w:rPr>
              <w:t>G</w:t>
            </w:r>
            <w:r w:rsidRPr="001E2370">
              <w:rPr>
                <w:color w:val="000000" w:themeColor="text1"/>
                <w:sz w:val="28"/>
                <w:szCs w:val="28"/>
                <w:vertAlign w:val="subscript"/>
              </w:rPr>
              <w:t>t</w:t>
            </w:r>
            <w:r w:rsidRPr="001E2370">
              <w:rPr>
                <w:color w:val="000000" w:themeColor="text1"/>
                <w:sz w:val="28"/>
                <w:szCs w:val="28"/>
              </w:rPr>
              <w:t> =</w:t>
            </w:r>
          </w:p>
        </w:tc>
        <w:tc>
          <w:tcPr>
            <w:tcW w:w="3455" w:type="dxa"/>
            <w:shd w:val="clear" w:color="auto" w:fill="FFFFFF"/>
            <w:tcMar>
              <w:top w:w="0" w:type="dxa"/>
              <w:left w:w="108" w:type="dxa"/>
              <w:bottom w:w="0" w:type="dxa"/>
              <w:right w:w="108" w:type="dxa"/>
            </w:tcMar>
            <w:vAlign w:val="center"/>
            <w:hideMark/>
          </w:tcPr>
          <w:p w:rsidR="00754BD0" w:rsidRPr="001E2370" w:rsidRDefault="009562EF" w:rsidP="00210A1A">
            <w:pPr>
              <w:spacing w:before="120" w:after="120"/>
              <w:jc w:val="center"/>
              <w:rPr>
                <w:color w:val="000000" w:themeColor="text1"/>
                <w:sz w:val="28"/>
                <w:szCs w:val="28"/>
              </w:rPr>
            </w:pPr>
            <w:r w:rsidRPr="001E2370">
              <w:rPr>
                <w:color w:val="000000" w:themeColor="text1"/>
                <w:sz w:val="28"/>
                <w:szCs w:val="28"/>
              </w:rPr>
              <w:t>627.</w:t>
            </w:r>
            <w:r w:rsidR="00210A1A">
              <w:rPr>
                <w:color w:val="000000" w:themeColor="text1"/>
                <w:sz w:val="28"/>
                <w:szCs w:val="28"/>
              </w:rPr>
              <w:t>393</w:t>
            </w:r>
            <w:r w:rsidRPr="001E2370">
              <w:rPr>
                <w:color w:val="000000" w:themeColor="text1"/>
                <w:sz w:val="28"/>
                <w:szCs w:val="28"/>
              </w:rPr>
              <w:t>+117.03</w:t>
            </w:r>
            <w:r w:rsidR="00210A1A">
              <w:rPr>
                <w:color w:val="000000" w:themeColor="text1"/>
                <w:sz w:val="28"/>
                <w:szCs w:val="28"/>
              </w:rPr>
              <w:t>5</w:t>
            </w:r>
          </w:p>
        </w:tc>
        <w:tc>
          <w:tcPr>
            <w:tcW w:w="1995" w:type="dxa"/>
            <w:vMerge w:val="restart"/>
            <w:shd w:val="clear" w:color="auto" w:fill="FFFFFF"/>
            <w:tcMar>
              <w:top w:w="0" w:type="dxa"/>
              <w:left w:w="108" w:type="dxa"/>
              <w:bottom w:w="0" w:type="dxa"/>
              <w:right w:w="108" w:type="dxa"/>
            </w:tcMar>
            <w:vAlign w:val="center"/>
            <w:hideMark/>
          </w:tcPr>
          <w:p w:rsidR="00754BD0" w:rsidRPr="001E2370" w:rsidRDefault="00754BD0" w:rsidP="009562EF">
            <w:pPr>
              <w:spacing w:before="120" w:after="120"/>
              <w:jc w:val="both"/>
              <w:rPr>
                <w:color w:val="000000" w:themeColor="text1"/>
                <w:sz w:val="28"/>
                <w:szCs w:val="28"/>
              </w:rPr>
            </w:pPr>
            <w:r w:rsidRPr="001E2370">
              <w:rPr>
                <w:color w:val="000000" w:themeColor="text1"/>
                <w:sz w:val="28"/>
                <w:szCs w:val="28"/>
              </w:rPr>
              <w:t>x</w:t>
            </w:r>
            <w:r w:rsidR="006F2350" w:rsidRPr="001E2370">
              <w:rPr>
                <w:color w:val="000000" w:themeColor="text1"/>
                <w:sz w:val="28"/>
                <w:szCs w:val="28"/>
              </w:rPr>
              <w:t xml:space="preserve"> </w:t>
            </w:r>
            <w:r w:rsidRPr="001E2370">
              <w:rPr>
                <w:color w:val="000000" w:themeColor="text1"/>
                <w:sz w:val="28"/>
                <w:szCs w:val="28"/>
              </w:rPr>
              <w:t xml:space="preserve">1,1 + </w:t>
            </w:r>
            <w:r w:rsidR="009562EF" w:rsidRPr="001E2370">
              <w:rPr>
                <w:color w:val="000000" w:themeColor="text1"/>
                <w:sz w:val="28"/>
                <w:szCs w:val="28"/>
              </w:rPr>
              <w:t>2.438</w:t>
            </w:r>
          </w:p>
        </w:tc>
        <w:tc>
          <w:tcPr>
            <w:tcW w:w="273" w:type="dxa"/>
            <w:vMerge w:val="restart"/>
            <w:shd w:val="clear" w:color="auto" w:fill="FFFFFF"/>
            <w:vAlign w:val="center"/>
          </w:tcPr>
          <w:p w:rsidR="00754BD0" w:rsidRPr="001E2370" w:rsidRDefault="00754BD0" w:rsidP="00754BD0">
            <w:pPr>
              <w:spacing w:before="120" w:after="120"/>
              <w:jc w:val="center"/>
              <w:rPr>
                <w:color w:val="000000" w:themeColor="text1"/>
                <w:sz w:val="28"/>
                <w:szCs w:val="28"/>
              </w:rPr>
            </w:pPr>
            <w:r w:rsidRPr="001E2370">
              <w:rPr>
                <w:color w:val="000000" w:themeColor="text1"/>
                <w:sz w:val="28"/>
                <w:szCs w:val="28"/>
              </w:rPr>
              <w:t>=</w:t>
            </w:r>
          </w:p>
        </w:tc>
        <w:tc>
          <w:tcPr>
            <w:tcW w:w="1701" w:type="dxa"/>
            <w:vMerge w:val="restart"/>
            <w:shd w:val="clear" w:color="auto" w:fill="FFFFFF"/>
            <w:vAlign w:val="center"/>
          </w:tcPr>
          <w:p w:rsidR="00754BD0" w:rsidRDefault="009562EF" w:rsidP="009562EF">
            <w:pPr>
              <w:spacing w:before="120" w:after="120"/>
              <w:jc w:val="center"/>
              <w:rPr>
                <w:color w:val="000000" w:themeColor="text1"/>
                <w:sz w:val="28"/>
                <w:szCs w:val="28"/>
              </w:rPr>
            </w:pPr>
            <w:r w:rsidRPr="001E2370">
              <w:rPr>
                <w:color w:val="000000" w:themeColor="text1"/>
                <w:sz w:val="28"/>
                <w:szCs w:val="28"/>
              </w:rPr>
              <w:t>70</w:t>
            </w:r>
            <w:r w:rsidR="00D3623B" w:rsidRPr="001E2370">
              <w:rPr>
                <w:color w:val="000000" w:themeColor="text1"/>
                <w:sz w:val="28"/>
                <w:szCs w:val="28"/>
              </w:rPr>
              <w:t>.</w:t>
            </w:r>
            <w:r w:rsidR="00CE6811" w:rsidRPr="001E2370">
              <w:rPr>
                <w:color w:val="000000" w:themeColor="text1"/>
                <w:sz w:val="28"/>
                <w:szCs w:val="28"/>
              </w:rPr>
              <w:t>677</w:t>
            </w:r>
            <w:r w:rsidR="006F2350" w:rsidRPr="001E2370">
              <w:rPr>
                <w:color w:val="000000" w:themeColor="text1"/>
                <w:sz w:val="28"/>
                <w:szCs w:val="28"/>
              </w:rPr>
              <w:t xml:space="preserve"> đồng</w:t>
            </w:r>
          </w:p>
          <w:p w:rsidR="001E2370" w:rsidRPr="001E2370" w:rsidRDefault="001E2370" w:rsidP="009562EF">
            <w:pPr>
              <w:spacing w:before="120" w:after="120"/>
              <w:jc w:val="center"/>
              <w:rPr>
                <w:b/>
                <w:color w:val="000000" w:themeColor="text1"/>
                <w:sz w:val="28"/>
                <w:szCs w:val="28"/>
              </w:rPr>
            </w:pPr>
            <w:r w:rsidRPr="001E2370">
              <w:rPr>
                <w:b/>
                <w:color w:val="000000" w:themeColor="text1"/>
                <w:sz w:val="28"/>
                <w:szCs w:val="28"/>
              </w:rPr>
              <w:t>(Làm tròn: 70.700 đồng)</w:t>
            </w:r>
          </w:p>
        </w:tc>
      </w:tr>
      <w:tr w:rsidR="00754BD0" w:rsidRPr="009536C4" w:rsidTr="009562EF">
        <w:trPr>
          <w:trHeight w:val="352"/>
          <w:tblCellSpacing w:w="0" w:type="dxa"/>
        </w:trPr>
        <w:tc>
          <w:tcPr>
            <w:tcW w:w="717" w:type="dxa"/>
            <w:vMerge/>
            <w:shd w:val="clear" w:color="auto" w:fill="FFFFFF"/>
            <w:vAlign w:val="center"/>
            <w:hideMark/>
          </w:tcPr>
          <w:p w:rsidR="00754BD0" w:rsidRPr="001E2370" w:rsidRDefault="00754BD0" w:rsidP="009870FC">
            <w:pPr>
              <w:spacing w:before="120" w:after="120"/>
              <w:jc w:val="both"/>
              <w:rPr>
                <w:color w:val="000000" w:themeColor="text1"/>
                <w:sz w:val="28"/>
                <w:szCs w:val="28"/>
              </w:rPr>
            </w:pPr>
          </w:p>
        </w:tc>
        <w:tc>
          <w:tcPr>
            <w:tcW w:w="3455" w:type="dxa"/>
            <w:shd w:val="clear" w:color="auto" w:fill="FFFFFF"/>
            <w:tcMar>
              <w:top w:w="0" w:type="dxa"/>
              <w:left w:w="108" w:type="dxa"/>
              <w:bottom w:w="0" w:type="dxa"/>
              <w:right w:w="108" w:type="dxa"/>
            </w:tcMar>
            <w:hideMark/>
          </w:tcPr>
          <w:p w:rsidR="00754BD0" w:rsidRPr="001E2370" w:rsidRDefault="009562EF" w:rsidP="009870FC">
            <w:pPr>
              <w:spacing w:before="120" w:after="120"/>
              <w:jc w:val="center"/>
              <w:rPr>
                <w:color w:val="000000" w:themeColor="text1"/>
                <w:sz w:val="28"/>
                <w:szCs w:val="28"/>
                <w:vertAlign w:val="superscript"/>
              </w:rPr>
            </w:pPr>
            <w:r w:rsidRPr="001E2370">
              <w:rPr>
                <w:color w:val="000000" w:themeColor="text1"/>
                <w:sz w:val="28"/>
                <w:szCs w:val="28"/>
              </w:rPr>
              <w:t>12x1</w:t>
            </w:r>
            <w:r w:rsidR="00754BD0" w:rsidRPr="001E2370">
              <w:rPr>
                <w:color w:val="000000" w:themeColor="text1"/>
                <w:sz w:val="28"/>
                <w:szCs w:val="28"/>
              </w:rPr>
              <w:t> </w:t>
            </w:r>
          </w:p>
        </w:tc>
        <w:tc>
          <w:tcPr>
            <w:tcW w:w="1995" w:type="dxa"/>
            <w:vMerge/>
            <w:shd w:val="clear" w:color="auto" w:fill="FFFFFF"/>
            <w:vAlign w:val="center"/>
            <w:hideMark/>
          </w:tcPr>
          <w:p w:rsidR="00754BD0" w:rsidRPr="001E2370" w:rsidRDefault="00754BD0" w:rsidP="009870FC">
            <w:pPr>
              <w:spacing w:before="120" w:after="120"/>
              <w:jc w:val="both"/>
              <w:rPr>
                <w:color w:val="000000" w:themeColor="text1"/>
                <w:sz w:val="28"/>
                <w:szCs w:val="28"/>
              </w:rPr>
            </w:pPr>
          </w:p>
        </w:tc>
        <w:tc>
          <w:tcPr>
            <w:tcW w:w="273" w:type="dxa"/>
            <w:vMerge/>
            <w:shd w:val="clear" w:color="auto" w:fill="FFFFFF"/>
            <w:vAlign w:val="center"/>
          </w:tcPr>
          <w:p w:rsidR="00754BD0" w:rsidRPr="001E2370" w:rsidRDefault="00754BD0" w:rsidP="00754BD0">
            <w:pPr>
              <w:spacing w:before="120" w:after="120"/>
              <w:jc w:val="center"/>
              <w:rPr>
                <w:color w:val="000000" w:themeColor="text1"/>
                <w:sz w:val="28"/>
                <w:szCs w:val="28"/>
              </w:rPr>
            </w:pPr>
          </w:p>
        </w:tc>
        <w:tc>
          <w:tcPr>
            <w:tcW w:w="1701" w:type="dxa"/>
            <w:vMerge/>
            <w:shd w:val="clear" w:color="auto" w:fill="FFFFFF"/>
          </w:tcPr>
          <w:p w:rsidR="00754BD0" w:rsidRPr="001E2370" w:rsidRDefault="00754BD0" w:rsidP="009870FC">
            <w:pPr>
              <w:spacing w:before="120" w:after="120"/>
              <w:jc w:val="both"/>
              <w:rPr>
                <w:color w:val="000000" w:themeColor="text1"/>
                <w:sz w:val="28"/>
                <w:szCs w:val="28"/>
              </w:rPr>
            </w:pPr>
          </w:p>
        </w:tc>
      </w:tr>
    </w:tbl>
    <w:p w:rsidR="00D3623B" w:rsidRDefault="00D3623B" w:rsidP="009870FC">
      <w:pPr>
        <w:ind w:firstLine="720"/>
        <w:rPr>
          <w:b/>
          <w:color w:val="000000" w:themeColor="text1"/>
          <w:sz w:val="28"/>
          <w:szCs w:val="28"/>
        </w:rPr>
      </w:pPr>
      <w:bookmarkStart w:id="3" w:name="_GoBack"/>
      <w:bookmarkEnd w:id="3"/>
      <w:r>
        <w:rPr>
          <w:b/>
          <w:color w:val="000000" w:themeColor="text1"/>
          <w:sz w:val="28"/>
          <w:szCs w:val="28"/>
        </w:rPr>
        <w:t>Tính toán tương tự như trên ta có kết quả tính toán giá thuê các dạng nhà như sau:</w:t>
      </w:r>
    </w:p>
    <w:p w:rsidR="00AE5ED4" w:rsidRDefault="00AE5ED4" w:rsidP="009870FC">
      <w:pPr>
        <w:ind w:firstLine="720"/>
        <w:rPr>
          <w:b/>
          <w:spacing w:val="-2"/>
          <w:sz w:val="28"/>
          <w:szCs w:val="28"/>
        </w:rPr>
      </w:pPr>
      <w:r w:rsidRPr="00AE5ED4">
        <w:rPr>
          <w:b/>
          <w:color w:val="000000" w:themeColor="text1"/>
          <w:sz w:val="28"/>
          <w:szCs w:val="28"/>
        </w:rPr>
        <w:t xml:space="preserve">* </w:t>
      </w:r>
      <w:r w:rsidRPr="00AE5ED4">
        <w:rPr>
          <w:b/>
          <w:spacing w:val="-2"/>
          <w:sz w:val="28"/>
          <w:szCs w:val="28"/>
          <w:highlight w:val="white"/>
        </w:rPr>
        <w:t>Khung giá thuê nhà ở xã hội được đầu tư xây dựng không bằng nguồn vốn đầu tư công, nguồn tài chính công đoàn</w:t>
      </w:r>
    </w:p>
    <w:p w:rsidR="00210A1A" w:rsidRPr="00210A1A" w:rsidRDefault="00210A1A" w:rsidP="009870FC">
      <w:pPr>
        <w:ind w:firstLine="720"/>
        <w:rPr>
          <w:b/>
          <w:spacing w:val="-2"/>
          <w:sz w:val="18"/>
          <w:szCs w:val="28"/>
        </w:rPr>
      </w:pPr>
    </w:p>
    <w:tbl>
      <w:tblPr>
        <w:tblW w:w="11104" w:type="dxa"/>
        <w:tblInd w:w="-1026" w:type="dxa"/>
        <w:tblLayout w:type="fixed"/>
        <w:tblLook w:val="04A0"/>
      </w:tblPr>
      <w:tblGrid>
        <w:gridCol w:w="572"/>
        <w:gridCol w:w="1697"/>
        <w:gridCol w:w="1134"/>
        <w:gridCol w:w="1163"/>
        <w:gridCol w:w="951"/>
        <w:gridCol w:w="1204"/>
        <w:gridCol w:w="1064"/>
        <w:gridCol w:w="1130"/>
        <w:gridCol w:w="1008"/>
        <w:gridCol w:w="1181"/>
      </w:tblGrid>
      <w:tr w:rsidR="00210A1A" w:rsidRPr="003D00FA" w:rsidTr="00210A1A">
        <w:trPr>
          <w:trHeight w:val="20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1A" w:rsidRPr="00210A1A" w:rsidRDefault="00210A1A" w:rsidP="00210A1A">
            <w:pPr>
              <w:jc w:val="center"/>
              <w:rPr>
                <w:color w:val="000000"/>
                <w:sz w:val="20"/>
                <w:szCs w:val="20"/>
              </w:rPr>
            </w:pPr>
            <w:r w:rsidRPr="00210A1A">
              <w:rPr>
                <w:color w:val="000000"/>
                <w:sz w:val="20"/>
                <w:szCs w:val="20"/>
              </w:rPr>
              <w:t>STT</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210A1A" w:rsidRPr="00210A1A" w:rsidRDefault="00210A1A" w:rsidP="00210A1A">
            <w:pPr>
              <w:jc w:val="center"/>
              <w:rPr>
                <w:color w:val="000000"/>
                <w:sz w:val="20"/>
                <w:szCs w:val="20"/>
              </w:rPr>
            </w:pPr>
            <w:r w:rsidRPr="00210A1A">
              <w:rPr>
                <w:color w:val="000000"/>
                <w:sz w:val="20"/>
                <w:szCs w:val="20"/>
              </w:rPr>
              <w:t>Loại hình nhà ở xã hội dạng chung cư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rPr>
              <w:t>Suất vốn đầu tư xây dựng 1m2( đã bao gồm thuế VAT)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rPr>
              <w:t>Suất vốn đầu tư xây dựng 1m2 trước thuế</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3D00FA">
            <w:pPr>
              <w:jc w:val="center"/>
              <w:rPr>
                <w:color w:val="000000"/>
                <w:sz w:val="20"/>
                <w:szCs w:val="20"/>
              </w:rPr>
            </w:pPr>
            <w:r w:rsidRPr="00210A1A">
              <w:rPr>
                <w:color w:val="000000"/>
                <w:sz w:val="20"/>
                <w:szCs w:val="20"/>
              </w:rPr>
              <w:t>Chi phí khác</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lang w:val="vi-VN"/>
              </w:rPr>
              <w:t>Tổng chi phí đầu tư xây dựng và một số khoản chi phí hợp lí khác(Tđ)</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rPr>
              <w:t>Lợi nhuận định mức của nhà đầu tư phân bổ theo giá thuê nhà tính trên 1m2 (L)</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rPr>
              <w:t>Chi phí bảo trì bình quân hàng năm phân bổ trên 01m2 sử dụng nhà  (Bt - tỉnh bằng 2%Tđ)</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rPr>
              <w:t>Vđ</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210A1A" w:rsidRPr="00210A1A" w:rsidRDefault="00210A1A" w:rsidP="00210A1A">
            <w:pPr>
              <w:jc w:val="center"/>
              <w:rPr>
                <w:color w:val="000000"/>
                <w:sz w:val="20"/>
                <w:szCs w:val="20"/>
              </w:rPr>
            </w:pPr>
            <w:r w:rsidRPr="00210A1A">
              <w:rPr>
                <w:color w:val="000000"/>
                <w:sz w:val="20"/>
                <w:szCs w:val="20"/>
              </w:rPr>
              <w:t>Giá thuê (Gt)</w:t>
            </w:r>
            <w:r w:rsidR="003D00FA" w:rsidRPr="003D00FA">
              <w:rPr>
                <w:color w:val="000000"/>
                <w:sz w:val="20"/>
                <w:szCs w:val="20"/>
              </w:rPr>
              <w:t xml:space="preserve"> làm tròn</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1</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Số tầng ≤ 5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5.611.000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5.100.909</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98.141</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5.005.216</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2.086</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100.104</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536.632</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60.500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b/>
                <w:color w:val="000000"/>
                <w:sz w:val="20"/>
                <w:szCs w:val="20"/>
              </w:rPr>
            </w:pPr>
            <w:r w:rsidRPr="00210A1A">
              <w:rPr>
                <w:b/>
                <w:color w:val="000000"/>
                <w:sz w:val="20"/>
                <w:szCs w:val="20"/>
              </w:rPr>
              <w:t>2</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b/>
                <w:color w:val="000000"/>
                <w:sz w:val="20"/>
                <w:szCs w:val="20"/>
              </w:rPr>
            </w:pPr>
            <w:r w:rsidRPr="00210A1A">
              <w:rPr>
                <w:b/>
                <w:color w:val="000000"/>
                <w:sz w:val="20"/>
                <w:szCs w:val="20"/>
              </w:rPr>
              <w:t>Số tầng ≤ 5 có 1 tầng hầm</w:t>
            </w:r>
            <w:r w:rsidR="00285413">
              <w:rPr>
                <w:b/>
                <w:color w:val="000000"/>
                <w:sz w:val="20"/>
                <w:szCs w:val="20"/>
              </w:rPr>
              <w:t xml:space="preserve"> (Chọn tính mẫu)</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6.560.000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5.963.636</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114.740</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5.851.758</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2.438</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117.035</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627.393</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b/>
                <w:color w:val="000000"/>
                <w:sz w:val="20"/>
                <w:szCs w:val="20"/>
              </w:rPr>
            </w:pPr>
            <w:r w:rsidRPr="003D00FA">
              <w:rPr>
                <w:b/>
                <w:color w:val="000000"/>
                <w:sz w:val="20"/>
                <w:szCs w:val="20"/>
              </w:rPr>
              <w:t>70.700</w:t>
            </w:r>
          </w:p>
        </w:tc>
      </w:tr>
      <w:tr w:rsidR="003D00FA" w:rsidRPr="003D00FA" w:rsidTr="003D00FA">
        <w:trPr>
          <w:trHeight w:val="75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3</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Số tầng 5 &lt; số tầng ≤ 7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7.246.000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6.587.273</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126.739</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6.463.695</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4.149</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129.274</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693.002</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79.500</w:t>
            </w:r>
          </w:p>
        </w:tc>
      </w:tr>
      <w:tr w:rsidR="003D00FA" w:rsidRPr="003D00FA" w:rsidTr="003D00FA">
        <w:trPr>
          <w:trHeight w:val="75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4</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Số tầng 5 &lt; số tầng ≤ 7 có 1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7.750.000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7.045.455</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135.555</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6.913.282</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4.438</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138.266</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741.204</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85.100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5</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7 &lt; số tầng ≤ 10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7.462.000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6.783.636</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130.517</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6.656.375</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4.273</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133.128</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713.660</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81.900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6</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7 &lt; số tầng ≤ 10 có 1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7.809.000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7.099.091</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136.587</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6.965.912</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4.472</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139.318</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746.847</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85.700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7</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10 &lt; số tầng ≤ 15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7.812.000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7.101.818</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136.639</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6.968.588</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4.473</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139.372</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747.134</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85.700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8</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10 &lt; số tầng ≤ 15 có 1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8.035.000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7.304.545</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140.539</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7.167.512</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4.601</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143.350</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768.461</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88.200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9</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15 &lt; số tầng ≤ 20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8.717.000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7.924.545</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152.468</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7.775.881</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4.992</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155.518</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833.687</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95.700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210A1A">
            <w:pPr>
              <w:jc w:val="center"/>
              <w:rPr>
                <w:color w:val="000000"/>
                <w:sz w:val="20"/>
                <w:szCs w:val="20"/>
              </w:rPr>
            </w:pPr>
            <w:r w:rsidRPr="00210A1A">
              <w:rPr>
                <w:color w:val="000000"/>
                <w:sz w:val="20"/>
                <w:szCs w:val="20"/>
              </w:rPr>
              <w:t>10</w:t>
            </w:r>
          </w:p>
        </w:tc>
        <w:tc>
          <w:tcPr>
            <w:tcW w:w="1697" w:type="dxa"/>
            <w:tcBorders>
              <w:top w:val="nil"/>
              <w:left w:val="nil"/>
              <w:bottom w:val="single" w:sz="4" w:space="0" w:color="auto"/>
              <w:right w:val="single" w:sz="4" w:space="0" w:color="auto"/>
            </w:tcBorders>
            <w:shd w:val="clear" w:color="auto" w:fill="auto"/>
            <w:hideMark/>
          </w:tcPr>
          <w:p w:rsidR="003D00FA" w:rsidRPr="00210A1A" w:rsidRDefault="003D00FA" w:rsidP="00210A1A">
            <w:pPr>
              <w:rPr>
                <w:color w:val="000000"/>
                <w:sz w:val="20"/>
                <w:szCs w:val="20"/>
              </w:rPr>
            </w:pPr>
            <w:r w:rsidRPr="00210A1A">
              <w:rPr>
                <w:color w:val="000000"/>
                <w:sz w:val="20"/>
                <w:szCs w:val="20"/>
              </w:rPr>
              <w:t>15 &lt; số tầng ≤ 20 có 1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8.844.000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8.040.000</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154.690</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7.889.170</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5.064</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157.783</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845.833</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97.100</w:t>
            </w:r>
          </w:p>
        </w:tc>
      </w:tr>
    </w:tbl>
    <w:p w:rsidR="00285413" w:rsidRDefault="00285413" w:rsidP="001E2370">
      <w:pPr>
        <w:spacing w:before="120" w:after="120"/>
        <w:ind w:firstLine="720"/>
        <w:rPr>
          <w:b/>
          <w:sz w:val="28"/>
          <w:szCs w:val="28"/>
          <w:highlight w:val="white"/>
        </w:rPr>
      </w:pPr>
    </w:p>
    <w:p w:rsidR="00D3623B" w:rsidRPr="001E2370" w:rsidRDefault="00AE5ED4" w:rsidP="00285413">
      <w:pPr>
        <w:spacing w:before="120" w:after="120"/>
        <w:rPr>
          <w:b/>
          <w:sz w:val="28"/>
          <w:szCs w:val="28"/>
        </w:rPr>
      </w:pPr>
      <w:r>
        <w:rPr>
          <w:b/>
          <w:sz w:val="28"/>
          <w:szCs w:val="28"/>
          <w:highlight w:val="white"/>
        </w:rPr>
        <w:t xml:space="preserve">* </w:t>
      </w:r>
      <w:r w:rsidRPr="002329BE">
        <w:rPr>
          <w:b/>
          <w:sz w:val="28"/>
          <w:szCs w:val="28"/>
          <w:highlight w:val="white"/>
        </w:rPr>
        <w:t>Khung giá cho thuê nhà lưu trú công nhân trong khu công nghiệp</w:t>
      </w:r>
    </w:p>
    <w:tbl>
      <w:tblPr>
        <w:tblW w:w="11104" w:type="dxa"/>
        <w:tblInd w:w="-1026" w:type="dxa"/>
        <w:tblLayout w:type="fixed"/>
        <w:tblLook w:val="04A0"/>
      </w:tblPr>
      <w:tblGrid>
        <w:gridCol w:w="572"/>
        <w:gridCol w:w="1697"/>
        <w:gridCol w:w="1134"/>
        <w:gridCol w:w="1163"/>
        <w:gridCol w:w="951"/>
        <w:gridCol w:w="1204"/>
        <w:gridCol w:w="1064"/>
        <w:gridCol w:w="1130"/>
        <w:gridCol w:w="1008"/>
        <w:gridCol w:w="1181"/>
      </w:tblGrid>
      <w:tr w:rsidR="003D00FA" w:rsidRPr="00210A1A" w:rsidTr="001E6C60">
        <w:trPr>
          <w:trHeight w:val="20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1E6C60">
            <w:pPr>
              <w:jc w:val="center"/>
              <w:rPr>
                <w:color w:val="000000"/>
                <w:sz w:val="20"/>
                <w:szCs w:val="20"/>
              </w:rPr>
            </w:pPr>
            <w:r w:rsidRPr="00210A1A">
              <w:rPr>
                <w:color w:val="000000"/>
                <w:sz w:val="20"/>
                <w:szCs w:val="20"/>
              </w:rPr>
              <w:t>STT</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3D00FA" w:rsidRPr="00210A1A" w:rsidRDefault="003D00FA" w:rsidP="001E6C60">
            <w:pPr>
              <w:jc w:val="center"/>
              <w:rPr>
                <w:color w:val="000000"/>
                <w:sz w:val="20"/>
                <w:szCs w:val="20"/>
              </w:rPr>
            </w:pPr>
            <w:r w:rsidRPr="00BC6421">
              <w:rPr>
                <w:color w:val="000000"/>
                <w:sz w:val="20"/>
                <w:szCs w:val="20"/>
              </w:rPr>
              <w:t>Loại hình nhà</w:t>
            </w:r>
            <w:r w:rsidRPr="00623227">
              <w:rPr>
                <w:b/>
                <w:sz w:val="28"/>
                <w:szCs w:val="28"/>
                <w:highlight w:val="white"/>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Suất vốn đầu tư xây dựng 1m2( đã bao gồm thuế VAT)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Suất vốn đầu tư xây dựng 1m2 trước thuế</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Chi phí khác</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lang w:val="vi-VN"/>
              </w:rPr>
              <w:t>Tổng chi phí đầu tư xây dựng và một số khoản chi phí hợp lí khác(Tđ)</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Lợi nhuận định mức của nhà đầu tư phân bổ theo giá thuê nhà tính trên 1m2 (L)</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Chi phí bảo trì bình quân hàng năm phân bổ trên 01m2 sử dụng nhà  (Bt - tỉnh bằng 2%Tđ)</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Vđ</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3D00FA" w:rsidRPr="00210A1A" w:rsidRDefault="003D00FA" w:rsidP="001E6C60">
            <w:pPr>
              <w:jc w:val="center"/>
              <w:rPr>
                <w:color w:val="000000"/>
                <w:sz w:val="20"/>
                <w:szCs w:val="20"/>
              </w:rPr>
            </w:pPr>
            <w:r w:rsidRPr="00210A1A">
              <w:rPr>
                <w:color w:val="000000"/>
                <w:sz w:val="20"/>
                <w:szCs w:val="20"/>
              </w:rPr>
              <w:t>Giá thuê (Gt)</w:t>
            </w:r>
            <w:r w:rsidRPr="003D00FA">
              <w:rPr>
                <w:color w:val="000000"/>
                <w:sz w:val="20"/>
                <w:szCs w:val="20"/>
              </w:rPr>
              <w:t xml:space="preserve"> làm tròn</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1E6C60">
            <w:pPr>
              <w:jc w:val="center"/>
              <w:rPr>
                <w:color w:val="000000"/>
                <w:sz w:val="20"/>
                <w:szCs w:val="20"/>
              </w:rPr>
            </w:pPr>
            <w:r w:rsidRPr="00210A1A">
              <w:rPr>
                <w:color w:val="000000"/>
                <w:sz w:val="20"/>
                <w:szCs w:val="20"/>
              </w:rPr>
              <w:t>1</w:t>
            </w:r>
          </w:p>
        </w:tc>
        <w:tc>
          <w:tcPr>
            <w:tcW w:w="1697" w:type="dxa"/>
            <w:tcBorders>
              <w:top w:val="nil"/>
              <w:left w:val="nil"/>
              <w:bottom w:val="single" w:sz="4" w:space="0" w:color="auto"/>
              <w:right w:val="single" w:sz="4" w:space="0" w:color="auto"/>
            </w:tcBorders>
            <w:shd w:val="clear" w:color="auto" w:fill="auto"/>
            <w:vAlign w:val="center"/>
            <w:hideMark/>
          </w:tcPr>
          <w:p w:rsidR="003D00FA" w:rsidRPr="003D00FA" w:rsidRDefault="003D00FA" w:rsidP="003D00FA">
            <w:pPr>
              <w:jc w:val="center"/>
              <w:rPr>
                <w:color w:val="000000"/>
                <w:sz w:val="20"/>
                <w:szCs w:val="20"/>
              </w:rPr>
            </w:pPr>
            <w:r w:rsidRPr="003D00FA">
              <w:rPr>
                <w:color w:val="000000"/>
                <w:sz w:val="20"/>
                <w:szCs w:val="20"/>
              </w:rPr>
              <w:t>5 &lt; số tầng ≤ 7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5.709.000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5.190.000</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99.856</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5.092.636</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3.269</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101.853</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546.004</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62.700</w:t>
            </w:r>
          </w:p>
        </w:tc>
      </w:tr>
      <w:tr w:rsidR="003D00FA" w:rsidRPr="003D00FA" w:rsidTr="003D00FA">
        <w:trPr>
          <w:trHeight w:val="37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D00FA" w:rsidRPr="00210A1A" w:rsidRDefault="003D00FA" w:rsidP="001E6C60">
            <w:pPr>
              <w:jc w:val="center"/>
              <w:rPr>
                <w:color w:val="000000"/>
                <w:sz w:val="20"/>
                <w:szCs w:val="20"/>
              </w:rPr>
            </w:pPr>
            <w:r w:rsidRPr="00210A1A">
              <w:rPr>
                <w:color w:val="000000"/>
                <w:sz w:val="20"/>
                <w:szCs w:val="20"/>
              </w:rPr>
              <w:t>2</w:t>
            </w:r>
          </w:p>
        </w:tc>
        <w:tc>
          <w:tcPr>
            <w:tcW w:w="1697" w:type="dxa"/>
            <w:tcBorders>
              <w:top w:val="nil"/>
              <w:left w:val="nil"/>
              <w:bottom w:val="single" w:sz="4" w:space="0" w:color="auto"/>
              <w:right w:val="single" w:sz="4" w:space="0" w:color="auto"/>
            </w:tcBorders>
            <w:shd w:val="clear" w:color="auto" w:fill="auto"/>
            <w:vAlign w:val="center"/>
            <w:hideMark/>
          </w:tcPr>
          <w:p w:rsidR="003D00FA" w:rsidRPr="003D00FA" w:rsidRDefault="003D00FA" w:rsidP="003D00FA">
            <w:pPr>
              <w:jc w:val="center"/>
              <w:rPr>
                <w:color w:val="000000"/>
                <w:sz w:val="20"/>
                <w:szCs w:val="20"/>
              </w:rPr>
            </w:pPr>
            <w:r w:rsidRPr="003D00FA">
              <w:rPr>
                <w:color w:val="000000"/>
                <w:sz w:val="20"/>
                <w:szCs w:val="20"/>
              </w:rPr>
              <w:t>7 &lt; số tầng ≤ 10 không có tầng hầm</w:t>
            </w:r>
          </w:p>
        </w:tc>
        <w:tc>
          <w:tcPr>
            <w:tcW w:w="113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5.879.000</w:t>
            </w:r>
          </w:p>
        </w:tc>
        <w:tc>
          <w:tcPr>
            <w:tcW w:w="1163"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5.344.545</w:t>
            </w:r>
          </w:p>
        </w:tc>
        <w:tc>
          <w:tcPr>
            <w:tcW w:w="95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102.829</w:t>
            </w:r>
          </w:p>
        </w:tc>
        <w:tc>
          <w:tcPr>
            <w:tcW w:w="120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5.244.282</w:t>
            </w:r>
          </w:p>
        </w:tc>
        <w:tc>
          <w:tcPr>
            <w:tcW w:w="1064"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3.366</w:t>
            </w:r>
          </w:p>
        </w:tc>
        <w:tc>
          <w:tcPr>
            <w:tcW w:w="1130"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104.886</w:t>
            </w:r>
          </w:p>
        </w:tc>
        <w:tc>
          <w:tcPr>
            <w:tcW w:w="1008"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562.263</w:t>
            </w:r>
          </w:p>
        </w:tc>
        <w:tc>
          <w:tcPr>
            <w:tcW w:w="1181" w:type="dxa"/>
            <w:tcBorders>
              <w:top w:val="nil"/>
              <w:left w:val="nil"/>
              <w:bottom w:val="single" w:sz="4" w:space="0" w:color="auto"/>
              <w:right w:val="single" w:sz="4" w:space="0" w:color="auto"/>
            </w:tcBorders>
            <w:shd w:val="clear" w:color="auto" w:fill="auto"/>
            <w:noWrap/>
            <w:vAlign w:val="center"/>
            <w:hideMark/>
          </w:tcPr>
          <w:p w:rsidR="003D00FA" w:rsidRPr="003D00FA" w:rsidRDefault="003D00FA" w:rsidP="003D00FA">
            <w:pPr>
              <w:jc w:val="center"/>
              <w:rPr>
                <w:color w:val="000000"/>
                <w:sz w:val="20"/>
                <w:szCs w:val="20"/>
              </w:rPr>
            </w:pPr>
            <w:r w:rsidRPr="003D00FA">
              <w:rPr>
                <w:color w:val="000000"/>
                <w:sz w:val="20"/>
                <w:szCs w:val="20"/>
              </w:rPr>
              <w:t>64.500</w:t>
            </w:r>
          </w:p>
        </w:tc>
      </w:tr>
    </w:tbl>
    <w:p w:rsidR="00D3623B" w:rsidRDefault="00D3623B" w:rsidP="009870FC">
      <w:pPr>
        <w:ind w:firstLine="720"/>
        <w:rPr>
          <w:b/>
          <w:color w:val="000000" w:themeColor="text1"/>
          <w:sz w:val="28"/>
          <w:szCs w:val="28"/>
        </w:rPr>
      </w:pPr>
    </w:p>
    <w:sectPr w:rsidR="00D3623B" w:rsidSect="00071A73">
      <w:headerReference w:type="default" r:id="rId6"/>
      <w:pgSz w:w="11907" w:h="16840" w:code="9"/>
      <w:pgMar w:top="1134" w:right="964" w:bottom="1021"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D2" w:rsidRDefault="00F449D2" w:rsidP="00071A73">
      <w:r>
        <w:separator/>
      </w:r>
    </w:p>
  </w:endnote>
  <w:endnote w:type="continuationSeparator" w:id="0">
    <w:p w:rsidR="00F449D2" w:rsidRDefault="00F449D2" w:rsidP="00071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D2" w:rsidRDefault="00F449D2" w:rsidP="00071A73">
      <w:r>
        <w:separator/>
      </w:r>
    </w:p>
  </w:footnote>
  <w:footnote w:type="continuationSeparator" w:id="0">
    <w:p w:rsidR="00F449D2" w:rsidRDefault="00F449D2" w:rsidP="00071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47"/>
      <w:docPartObj>
        <w:docPartGallery w:val="Page Numbers (Top of Page)"/>
        <w:docPartUnique/>
      </w:docPartObj>
    </w:sdtPr>
    <w:sdtContent>
      <w:p w:rsidR="005D6B78" w:rsidRDefault="00040418">
        <w:pPr>
          <w:pStyle w:val="Header"/>
          <w:jc w:val="center"/>
        </w:pPr>
        <w:r>
          <w:fldChar w:fldCharType="begin"/>
        </w:r>
        <w:r w:rsidR="001A50D1">
          <w:instrText xml:space="preserve"> PAGE   \* MERGEFORMAT </w:instrText>
        </w:r>
        <w:r>
          <w:fldChar w:fldCharType="separate"/>
        </w:r>
        <w:r w:rsidR="00D542FB">
          <w:rPr>
            <w:noProof/>
          </w:rPr>
          <w:t>2</w:t>
        </w:r>
        <w:r>
          <w:rPr>
            <w:noProof/>
          </w:rPr>
          <w:fldChar w:fldCharType="end"/>
        </w:r>
      </w:p>
    </w:sdtContent>
  </w:sdt>
  <w:p w:rsidR="005D6B78" w:rsidRDefault="005D6B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1F0B15"/>
    <w:rsid w:val="00034F62"/>
    <w:rsid w:val="00040418"/>
    <w:rsid w:val="00067758"/>
    <w:rsid w:val="00071A73"/>
    <w:rsid w:val="000B473F"/>
    <w:rsid w:val="000D7D4F"/>
    <w:rsid w:val="000E0471"/>
    <w:rsid w:val="00102139"/>
    <w:rsid w:val="0011531E"/>
    <w:rsid w:val="00127E24"/>
    <w:rsid w:val="00163871"/>
    <w:rsid w:val="00195D66"/>
    <w:rsid w:val="001A50D1"/>
    <w:rsid w:val="001E2370"/>
    <w:rsid w:val="001E53FA"/>
    <w:rsid w:val="001F09F2"/>
    <w:rsid w:val="001F0B15"/>
    <w:rsid w:val="00202D1A"/>
    <w:rsid w:val="00210A1A"/>
    <w:rsid w:val="00227B64"/>
    <w:rsid w:val="00267C14"/>
    <w:rsid w:val="00285413"/>
    <w:rsid w:val="00314C94"/>
    <w:rsid w:val="003D00FA"/>
    <w:rsid w:val="003E60FE"/>
    <w:rsid w:val="003F01F2"/>
    <w:rsid w:val="00464964"/>
    <w:rsid w:val="00480CEE"/>
    <w:rsid w:val="00487BB6"/>
    <w:rsid w:val="004C63B0"/>
    <w:rsid w:val="004D55BA"/>
    <w:rsid w:val="00521B55"/>
    <w:rsid w:val="005377F6"/>
    <w:rsid w:val="00587070"/>
    <w:rsid w:val="005D6B78"/>
    <w:rsid w:val="005E3EE2"/>
    <w:rsid w:val="0061376D"/>
    <w:rsid w:val="00613DC2"/>
    <w:rsid w:val="00621CC4"/>
    <w:rsid w:val="0068305E"/>
    <w:rsid w:val="006B4A4B"/>
    <w:rsid w:val="006F1CDA"/>
    <w:rsid w:val="006F2350"/>
    <w:rsid w:val="0071643F"/>
    <w:rsid w:val="007166D6"/>
    <w:rsid w:val="0072002C"/>
    <w:rsid w:val="007369CE"/>
    <w:rsid w:val="0075189D"/>
    <w:rsid w:val="00754BD0"/>
    <w:rsid w:val="00763C3E"/>
    <w:rsid w:val="00775DDC"/>
    <w:rsid w:val="00786877"/>
    <w:rsid w:val="007875B1"/>
    <w:rsid w:val="007D205D"/>
    <w:rsid w:val="00844A74"/>
    <w:rsid w:val="00855D5A"/>
    <w:rsid w:val="008B2B7C"/>
    <w:rsid w:val="008C33FF"/>
    <w:rsid w:val="009267A3"/>
    <w:rsid w:val="0094438F"/>
    <w:rsid w:val="009536C4"/>
    <w:rsid w:val="009562EF"/>
    <w:rsid w:val="009612F8"/>
    <w:rsid w:val="00985929"/>
    <w:rsid w:val="009870FC"/>
    <w:rsid w:val="009931D7"/>
    <w:rsid w:val="00997C80"/>
    <w:rsid w:val="009A1872"/>
    <w:rsid w:val="00A014DF"/>
    <w:rsid w:val="00A10521"/>
    <w:rsid w:val="00AE5ED4"/>
    <w:rsid w:val="00B07EE9"/>
    <w:rsid w:val="00B30730"/>
    <w:rsid w:val="00B51CAF"/>
    <w:rsid w:val="00B746A1"/>
    <w:rsid w:val="00B8710F"/>
    <w:rsid w:val="00B93769"/>
    <w:rsid w:val="00BA2BFD"/>
    <w:rsid w:val="00BB0C8D"/>
    <w:rsid w:val="00BC6421"/>
    <w:rsid w:val="00C072BD"/>
    <w:rsid w:val="00C14460"/>
    <w:rsid w:val="00C27D8B"/>
    <w:rsid w:val="00C514A1"/>
    <w:rsid w:val="00CA7D3C"/>
    <w:rsid w:val="00CE6811"/>
    <w:rsid w:val="00D264FE"/>
    <w:rsid w:val="00D34F7B"/>
    <w:rsid w:val="00D3623B"/>
    <w:rsid w:val="00D542FB"/>
    <w:rsid w:val="00D92F4B"/>
    <w:rsid w:val="00DA6BF3"/>
    <w:rsid w:val="00DC0790"/>
    <w:rsid w:val="00DE0E07"/>
    <w:rsid w:val="00E344C8"/>
    <w:rsid w:val="00E44E5F"/>
    <w:rsid w:val="00E46BB5"/>
    <w:rsid w:val="00E86465"/>
    <w:rsid w:val="00E87C1F"/>
    <w:rsid w:val="00E93C5E"/>
    <w:rsid w:val="00EB02A3"/>
    <w:rsid w:val="00EC56B3"/>
    <w:rsid w:val="00ED16F3"/>
    <w:rsid w:val="00F449D2"/>
    <w:rsid w:val="00F47227"/>
    <w:rsid w:val="00F9497A"/>
    <w:rsid w:val="00FA270E"/>
    <w:rsid w:val="00FC0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Char,표준 (웹)"/>
    <w:basedOn w:val="Normal"/>
    <w:link w:val="NormalWebChar"/>
    <w:uiPriority w:val="99"/>
    <w:unhideWhenUsed/>
    <w:qFormat/>
    <w:rsid w:val="001F0B15"/>
    <w:pPr>
      <w:spacing w:before="100" w:beforeAutospacing="1" w:after="100" w:afterAutospacing="1"/>
    </w:p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Char Char"/>
    <w:link w:val="NormalWeb"/>
    <w:uiPriority w:val="99"/>
    <w:rsid w:val="001F0B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B15"/>
    <w:rPr>
      <w:rFonts w:ascii="Tahoma" w:hAnsi="Tahoma" w:cs="Tahoma"/>
      <w:sz w:val="16"/>
      <w:szCs w:val="16"/>
    </w:rPr>
  </w:style>
  <w:style w:type="character" w:customStyle="1" w:styleId="BalloonTextChar">
    <w:name w:val="Balloon Text Char"/>
    <w:basedOn w:val="DefaultParagraphFont"/>
    <w:link w:val="BalloonText"/>
    <w:uiPriority w:val="99"/>
    <w:semiHidden/>
    <w:rsid w:val="001F0B15"/>
    <w:rPr>
      <w:rFonts w:ascii="Tahoma" w:eastAsia="Times New Roman" w:hAnsi="Tahoma" w:cs="Tahoma"/>
      <w:sz w:val="16"/>
      <w:szCs w:val="16"/>
    </w:rPr>
  </w:style>
  <w:style w:type="paragraph" w:styleId="ListParagraph">
    <w:name w:val="List Paragraph"/>
    <w:basedOn w:val="Normal"/>
    <w:uiPriority w:val="34"/>
    <w:qFormat/>
    <w:rsid w:val="005E3EE2"/>
    <w:pPr>
      <w:ind w:left="720"/>
      <w:contextualSpacing/>
    </w:pPr>
  </w:style>
  <w:style w:type="table" w:styleId="TableGrid">
    <w:name w:val="Table Grid"/>
    <w:basedOn w:val="TableNormal"/>
    <w:uiPriority w:val="59"/>
    <w:rsid w:val="001E5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A73"/>
    <w:pPr>
      <w:tabs>
        <w:tab w:val="center" w:pos="4680"/>
        <w:tab w:val="right" w:pos="9360"/>
      </w:tabs>
    </w:pPr>
  </w:style>
  <w:style w:type="character" w:customStyle="1" w:styleId="HeaderChar">
    <w:name w:val="Header Char"/>
    <w:basedOn w:val="DefaultParagraphFont"/>
    <w:link w:val="Header"/>
    <w:uiPriority w:val="99"/>
    <w:rsid w:val="00071A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71A73"/>
    <w:pPr>
      <w:tabs>
        <w:tab w:val="center" w:pos="4680"/>
        <w:tab w:val="right" w:pos="9360"/>
      </w:tabs>
    </w:pPr>
  </w:style>
  <w:style w:type="character" w:customStyle="1" w:styleId="FooterChar">
    <w:name w:val="Footer Char"/>
    <w:basedOn w:val="DefaultParagraphFont"/>
    <w:link w:val="Footer"/>
    <w:uiPriority w:val="99"/>
    <w:semiHidden/>
    <w:rsid w:val="00071A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325686">
      <w:bodyDiv w:val="1"/>
      <w:marLeft w:val="0"/>
      <w:marRight w:val="0"/>
      <w:marTop w:val="0"/>
      <w:marBottom w:val="0"/>
      <w:divBdr>
        <w:top w:val="none" w:sz="0" w:space="0" w:color="auto"/>
        <w:left w:val="none" w:sz="0" w:space="0" w:color="auto"/>
        <w:bottom w:val="none" w:sz="0" w:space="0" w:color="auto"/>
        <w:right w:val="none" w:sz="0" w:space="0" w:color="auto"/>
      </w:divBdr>
    </w:div>
    <w:div w:id="922762189">
      <w:bodyDiv w:val="1"/>
      <w:marLeft w:val="0"/>
      <w:marRight w:val="0"/>
      <w:marTop w:val="0"/>
      <w:marBottom w:val="0"/>
      <w:divBdr>
        <w:top w:val="none" w:sz="0" w:space="0" w:color="auto"/>
        <w:left w:val="none" w:sz="0" w:space="0" w:color="auto"/>
        <w:bottom w:val="none" w:sz="0" w:space="0" w:color="auto"/>
        <w:right w:val="none" w:sz="0" w:space="0" w:color="auto"/>
      </w:divBdr>
    </w:div>
    <w:div w:id="1048842413">
      <w:bodyDiv w:val="1"/>
      <w:marLeft w:val="0"/>
      <w:marRight w:val="0"/>
      <w:marTop w:val="0"/>
      <w:marBottom w:val="0"/>
      <w:divBdr>
        <w:top w:val="none" w:sz="0" w:space="0" w:color="auto"/>
        <w:left w:val="none" w:sz="0" w:space="0" w:color="auto"/>
        <w:bottom w:val="none" w:sz="0" w:space="0" w:color="auto"/>
        <w:right w:val="none" w:sz="0" w:space="0" w:color="auto"/>
      </w:divBdr>
    </w:div>
    <w:div w:id="1053966413">
      <w:bodyDiv w:val="1"/>
      <w:marLeft w:val="0"/>
      <w:marRight w:val="0"/>
      <w:marTop w:val="0"/>
      <w:marBottom w:val="0"/>
      <w:divBdr>
        <w:top w:val="none" w:sz="0" w:space="0" w:color="auto"/>
        <w:left w:val="none" w:sz="0" w:space="0" w:color="auto"/>
        <w:bottom w:val="none" w:sz="0" w:space="0" w:color="auto"/>
        <w:right w:val="none" w:sz="0" w:space="0" w:color="auto"/>
      </w:divBdr>
    </w:div>
    <w:div w:id="1462724766">
      <w:bodyDiv w:val="1"/>
      <w:marLeft w:val="0"/>
      <w:marRight w:val="0"/>
      <w:marTop w:val="0"/>
      <w:marBottom w:val="0"/>
      <w:divBdr>
        <w:top w:val="none" w:sz="0" w:space="0" w:color="auto"/>
        <w:left w:val="none" w:sz="0" w:space="0" w:color="auto"/>
        <w:bottom w:val="none" w:sz="0" w:space="0" w:color="auto"/>
        <w:right w:val="none" w:sz="0" w:space="0" w:color="auto"/>
      </w:divBdr>
    </w:div>
    <w:div w:id="1497111501">
      <w:bodyDiv w:val="1"/>
      <w:marLeft w:val="0"/>
      <w:marRight w:val="0"/>
      <w:marTop w:val="0"/>
      <w:marBottom w:val="0"/>
      <w:divBdr>
        <w:top w:val="none" w:sz="0" w:space="0" w:color="auto"/>
        <w:left w:val="none" w:sz="0" w:space="0" w:color="auto"/>
        <w:bottom w:val="none" w:sz="0" w:space="0" w:color="auto"/>
        <w:right w:val="none" w:sz="0" w:space="0" w:color="auto"/>
      </w:divBdr>
    </w:div>
    <w:div w:id="1880773145">
      <w:bodyDiv w:val="1"/>
      <w:marLeft w:val="0"/>
      <w:marRight w:val="0"/>
      <w:marTop w:val="0"/>
      <w:marBottom w:val="0"/>
      <w:divBdr>
        <w:top w:val="none" w:sz="0" w:space="0" w:color="auto"/>
        <w:left w:val="none" w:sz="0" w:space="0" w:color="auto"/>
        <w:bottom w:val="none" w:sz="0" w:space="0" w:color="auto"/>
        <w:right w:val="none" w:sz="0" w:space="0" w:color="auto"/>
      </w:divBdr>
    </w:div>
    <w:div w:id="1889100356">
      <w:bodyDiv w:val="1"/>
      <w:marLeft w:val="0"/>
      <w:marRight w:val="0"/>
      <w:marTop w:val="0"/>
      <w:marBottom w:val="0"/>
      <w:divBdr>
        <w:top w:val="none" w:sz="0" w:space="0" w:color="auto"/>
        <w:left w:val="none" w:sz="0" w:space="0" w:color="auto"/>
        <w:bottom w:val="none" w:sz="0" w:space="0" w:color="auto"/>
        <w:right w:val="none" w:sz="0" w:space="0" w:color="auto"/>
      </w:divBdr>
    </w:div>
    <w:div w:id="19934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45316-3CB7-45B7-97F2-5C23A32149F6}"/>
</file>

<file path=customXml/itemProps2.xml><?xml version="1.0" encoding="utf-8"?>
<ds:datastoreItem xmlns:ds="http://schemas.openxmlformats.org/officeDocument/2006/customXml" ds:itemID="{B598C4F9-2FDE-493A-AD0F-D0C15AA8EC9D}"/>
</file>

<file path=customXml/itemProps3.xml><?xml version="1.0" encoding="utf-8"?>
<ds:datastoreItem xmlns:ds="http://schemas.openxmlformats.org/officeDocument/2006/customXml" ds:itemID="{DC6E21F3-3FEA-4FE5-ABBC-3B9524092513}"/>
</file>

<file path=docProps/app.xml><?xml version="1.0" encoding="utf-8"?>
<Properties xmlns="http://schemas.openxmlformats.org/officeDocument/2006/extended-properties" xmlns:vt="http://schemas.openxmlformats.org/officeDocument/2006/docPropsVTypes">
  <Template>Normal.dotm</Template>
  <TotalTime>73</TotalTime>
  <Pages>7</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 Thanh Hai</cp:lastModifiedBy>
  <cp:revision>11</cp:revision>
  <cp:lastPrinted>2024-07-17T00:24:00Z</cp:lastPrinted>
  <dcterms:created xsi:type="dcterms:W3CDTF">2024-07-17T08:02:00Z</dcterms:created>
  <dcterms:modified xsi:type="dcterms:W3CDTF">2024-07-18T11:07:00Z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